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val="0"/>
        <w:wordWrap/>
        <w:overflowPunct w:val="0"/>
        <w:topLinePunct w:val="0"/>
        <w:autoSpaceDE w:val="0"/>
        <w:autoSpaceDN w:val="0"/>
        <w:bidi w:val="0"/>
        <w:adjustRightInd/>
        <w:snapToGrid/>
        <w:spacing w:before="0" w:beforeAutospacing="0" w:after="0" w:afterAutospacing="0" w:line="576" w:lineRule="exact"/>
        <w:ind w:right="0"/>
        <w:jc w:val="center"/>
        <w:textAlignment w:val="auto"/>
        <w:rPr>
          <w:rFonts w:ascii="微软雅黑" w:hAnsi="微软雅黑" w:eastAsia="微软雅黑" w:cs="微软雅黑"/>
          <w:i w:val="0"/>
          <w:iCs w:val="0"/>
          <w:caps w:val="0"/>
          <w:color w:val="333333"/>
          <w:spacing w:val="0"/>
          <w:sz w:val="24"/>
          <w:szCs w:val="24"/>
        </w:rPr>
      </w:pPr>
      <w:r>
        <w:rPr>
          <w:rFonts w:ascii="方正小标宋_GBK" w:hAnsi="方正小标宋_GBK" w:eastAsia="方正小标宋_GBK" w:cs="方正小标宋_GBK"/>
          <w:i w:val="0"/>
          <w:iCs w:val="0"/>
          <w:caps w:val="0"/>
          <w:color w:val="333333"/>
          <w:spacing w:val="0"/>
          <w:sz w:val="43"/>
          <w:szCs w:val="43"/>
          <w:shd w:val="clear" w:fill="FFFFFF"/>
        </w:rPr>
        <w:t>重庆市綦江区民政局</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val="0"/>
        <w:wordWrap/>
        <w:overflowPunct w:val="0"/>
        <w:topLinePunct w:val="0"/>
        <w:autoSpaceDE w:val="0"/>
        <w:autoSpaceDN w:val="0"/>
        <w:bidi w:val="0"/>
        <w:adjustRightInd/>
        <w:snapToGrid/>
        <w:spacing w:before="0" w:beforeAutospacing="0" w:after="0" w:afterAutospacing="0" w:line="576" w:lineRule="exact"/>
        <w:ind w:right="0"/>
        <w:jc w:val="center"/>
        <w:textAlignment w:val="auto"/>
        <w:rPr>
          <w:rFonts w:hint="eastAsia" w:ascii="微软雅黑" w:hAnsi="微软雅黑" w:eastAsia="微软雅黑" w:cs="微软雅黑"/>
          <w:i w:val="0"/>
          <w:iCs w:val="0"/>
          <w:caps w:val="0"/>
          <w:color w:val="333333"/>
          <w:spacing w:val="0"/>
          <w:sz w:val="24"/>
          <w:szCs w:val="24"/>
        </w:rPr>
      </w:pPr>
      <w:r>
        <w:rPr>
          <w:rFonts w:hint="eastAsia" w:ascii="方正小标宋_GBK" w:hAnsi="方正小标宋_GBK" w:eastAsia="方正小标宋_GBK" w:cs="方正小标宋_GBK"/>
          <w:i w:val="0"/>
          <w:iCs w:val="0"/>
          <w:caps w:val="0"/>
          <w:color w:val="333333"/>
          <w:spacing w:val="0"/>
          <w:sz w:val="43"/>
          <w:szCs w:val="43"/>
          <w:shd w:val="clear" w:fill="FFFFFF"/>
        </w:rPr>
        <w:t>202</w:t>
      </w:r>
      <w:r>
        <w:rPr>
          <w:rFonts w:hint="eastAsia" w:ascii="方正小标宋_GBK" w:hAnsi="方正小标宋_GBK" w:eastAsia="方正小标宋_GBK" w:cs="方正小标宋_GBK"/>
          <w:i w:val="0"/>
          <w:iCs w:val="0"/>
          <w:caps w:val="0"/>
          <w:color w:val="333333"/>
          <w:spacing w:val="0"/>
          <w:sz w:val="43"/>
          <w:szCs w:val="43"/>
          <w:shd w:val="clear" w:fill="FFFFFF"/>
          <w:lang w:val="en-US" w:eastAsia="zh-CN"/>
        </w:rPr>
        <w:t>4</w:t>
      </w:r>
      <w:r>
        <w:rPr>
          <w:rFonts w:hint="eastAsia" w:ascii="方正小标宋_GBK" w:hAnsi="方正小标宋_GBK" w:eastAsia="方正小标宋_GBK" w:cs="方正小标宋_GBK"/>
          <w:i w:val="0"/>
          <w:iCs w:val="0"/>
          <w:caps w:val="0"/>
          <w:color w:val="333333"/>
          <w:spacing w:val="0"/>
          <w:sz w:val="43"/>
          <w:szCs w:val="43"/>
          <w:shd w:val="clear" w:fill="FFFFFF"/>
        </w:rPr>
        <w:t>年政府信息公开工作年度报告</w:t>
      </w:r>
    </w:p>
    <w:p>
      <w:pPr>
        <w:keepNext w:val="0"/>
        <w:keepLines w:val="0"/>
        <w:pageBreakBefore w:val="0"/>
        <w:widowControl w:val="0"/>
        <w:kinsoku w:val="0"/>
        <w:wordWrap/>
        <w:overflowPunct w:val="0"/>
        <w:topLinePunct w:val="0"/>
        <w:autoSpaceDE w:val="0"/>
        <w:autoSpaceDN w:val="0"/>
        <w:bidi w:val="0"/>
        <w:adjustRightInd/>
        <w:snapToGrid/>
        <w:spacing w:line="576" w:lineRule="exact"/>
        <w:ind w:firstLine="620" w:firstLineChars="200"/>
        <w:jc w:val="both"/>
        <w:textAlignment w:val="auto"/>
        <w:rPr>
          <w:rFonts w:ascii="方正仿宋_GBK" w:hAnsi="方正仿宋_GBK" w:eastAsia="方正仿宋_GBK" w:cs="方正仿宋_GBK"/>
          <w:i w:val="0"/>
          <w:iCs w:val="0"/>
          <w:caps w:val="0"/>
          <w:color w:val="333333"/>
          <w:spacing w:val="0"/>
          <w:sz w:val="31"/>
          <w:szCs w:val="31"/>
          <w:shd w:val="clear" w:fill="FFFFFF"/>
        </w:rPr>
      </w:pPr>
    </w:p>
    <w:p>
      <w:pPr>
        <w:keepNext w:val="0"/>
        <w:keepLines w:val="0"/>
        <w:pageBreakBefore w:val="0"/>
        <w:widowControl w:val="0"/>
        <w:kinsoku w:val="0"/>
        <w:wordWrap/>
        <w:overflowPunct w:val="0"/>
        <w:topLinePunct w:val="0"/>
        <w:autoSpaceDE w:val="0"/>
        <w:autoSpaceDN w:val="0"/>
        <w:bidi w:val="0"/>
        <w:adjustRightInd/>
        <w:snapToGrid/>
        <w:spacing w:line="576" w:lineRule="exact"/>
        <w:ind w:firstLine="620" w:firstLineChars="200"/>
        <w:jc w:val="both"/>
        <w:textAlignment w:val="auto"/>
        <w:rPr>
          <w:rFonts w:hint="eastAsia" w:ascii="方正仿宋_GBK" w:hAnsi="方正仿宋_GBK" w:eastAsia="方正仿宋_GBK" w:cs="方正仿宋_GBK"/>
          <w:i w:val="0"/>
          <w:iCs w:val="0"/>
          <w:caps w:val="0"/>
          <w:color w:val="333333"/>
          <w:spacing w:val="0"/>
          <w:sz w:val="31"/>
          <w:szCs w:val="31"/>
          <w:shd w:val="clear" w:fill="FFFFFF"/>
        </w:rPr>
      </w:pPr>
      <w:r>
        <w:rPr>
          <w:rFonts w:ascii="方正仿宋_GBK" w:hAnsi="方正仿宋_GBK" w:eastAsia="方正仿宋_GBK" w:cs="方正仿宋_GBK"/>
          <w:i w:val="0"/>
          <w:iCs w:val="0"/>
          <w:caps w:val="0"/>
          <w:color w:val="333333"/>
          <w:spacing w:val="0"/>
          <w:sz w:val="31"/>
          <w:szCs w:val="31"/>
          <w:shd w:val="clear" w:fill="FFFFFF"/>
        </w:rPr>
        <w:t>根据《中华人民共和国政府信息公开条例》、《中华人民共和国政府信息公开工作年度报告格式》</w:t>
      </w:r>
      <w:r>
        <w:rPr>
          <w:rFonts w:hint="eastAsia" w:ascii="方正仿宋_GBK" w:hAnsi="方正仿宋_GBK" w:eastAsia="方正仿宋_GBK" w:cs="方正仿宋_GBK"/>
          <w:i w:val="0"/>
          <w:iCs w:val="0"/>
          <w:caps w:val="0"/>
          <w:color w:val="333333"/>
          <w:spacing w:val="0"/>
          <w:sz w:val="31"/>
          <w:szCs w:val="31"/>
          <w:shd w:val="clear" w:fill="FFFFFF"/>
        </w:rPr>
        <w:t>要求，编制本报告。报告由总体情况，主动公开政府信息情况，收到和处理政府信息公开申请情况，政府信息公开行政复议、行政诉讼情况，存在的主要问题及改进情况，其他需要报告的事项六个部分组成，所列数据统计期限自202</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4</w:t>
      </w:r>
      <w:r>
        <w:rPr>
          <w:rFonts w:hint="eastAsia" w:ascii="方正仿宋_GBK" w:hAnsi="方正仿宋_GBK" w:eastAsia="方正仿宋_GBK" w:cs="方正仿宋_GBK"/>
          <w:i w:val="0"/>
          <w:iCs w:val="0"/>
          <w:caps w:val="0"/>
          <w:color w:val="333333"/>
          <w:spacing w:val="0"/>
          <w:sz w:val="31"/>
          <w:szCs w:val="31"/>
          <w:shd w:val="clear" w:fill="FFFFFF"/>
        </w:rPr>
        <w:t>年1月1日起至202</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4</w:t>
      </w:r>
      <w:r>
        <w:rPr>
          <w:rFonts w:hint="eastAsia" w:ascii="方正仿宋_GBK" w:hAnsi="方正仿宋_GBK" w:eastAsia="方正仿宋_GBK" w:cs="方正仿宋_GBK"/>
          <w:i w:val="0"/>
          <w:iCs w:val="0"/>
          <w:caps w:val="0"/>
          <w:color w:val="333333"/>
          <w:spacing w:val="0"/>
          <w:sz w:val="31"/>
          <w:szCs w:val="31"/>
          <w:shd w:val="clear" w:fill="FFFFFF"/>
        </w:rPr>
        <w:t>年12月31日止。</w:t>
      </w:r>
    </w:p>
    <w:p>
      <w:pPr>
        <w:keepNext w:val="0"/>
        <w:keepLines w:val="0"/>
        <w:pageBreakBefore w:val="0"/>
        <w:widowControl w:val="0"/>
        <w:numPr>
          <w:ilvl w:val="0"/>
          <w:numId w:val="1"/>
        </w:numPr>
        <w:kinsoku w:val="0"/>
        <w:wordWrap/>
        <w:overflowPunct w:val="0"/>
        <w:topLinePunct w:val="0"/>
        <w:autoSpaceDE w:val="0"/>
        <w:autoSpaceDN w:val="0"/>
        <w:bidi w:val="0"/>
        <w:adjustRightInd/>
        <w:snapToGrid/>
        <w:spacing w:line="576" w:lineRule="exact"/>
        <w:ind w:firstLine="620" w:firstLineChars="200"/>
        <w:jc w:val="both"/>
        <w:textAlignment w:val="auto"/>
        <w:rPr>
          <w:rFonts w:hint="eastAsia" w:ascii="方正黑体_GBK" w:hAnsi="方正黑体_GBK" w:eastAsia="方正黑体_GBK" w:cs="方正黑体_GBK"/>
          <w:i w:val="0"/>
          <w:iCs w:val="0"/>
          <w:caps w:val="0"/>
          <w:color w:val="333333"/>
          <w:spacing w:val="0"/>
          <w:sz w:val="31"/>
          <w:szCs w:val="31"/>
          <w:shd w:val="clear" w:fill="FFFFFF"/>
        </w:rPr>
      </w:pPr>
      <w:r>
        <w:rPr>
          <w:rFonts w:hint="eastAsia" w:ascii="方正黑体_GBK" w:hAnsi="方正黑体_GBK" w:eastAsia="方正黑体_GBK" w:cs="方正黑体_GBK"/>
          <w:i w:val="0"/>
          <w:iCs w:val="0"/>
          <w:caps w:val="0"/>
          <w:color w:val="333333"/>
          <w:spacing w:val="0"/>
          <w:sz w:val="31"/>
          <w:szCs w:val="31"/>
          <w:shd w:val="clear" w:fill="FFFFFF"/>
        </w:rPr>
        <w:t>总体情况</w:t>
      </w:r>
    </w:p>
    <w:p>
      <w:pPr>
        <w:keepNext w:val="0"/>
        <w:keepLines w:val="0"/>
        <w:pageBreakBefore w:val="0"/>
        <w:widowControl w:val="0"/>
        <w:kinsoku w:val="0"/>
        <w:wordWrap/>
        <w:overflowPunct w:val="0"/>
        <w:topLinePunct w:val="0"/>
        <w:autoSpaceDE w:val="0"/>
        <w:autoSpaceDN w:val="0"/>
        <w:bidi w:val="0"/>
        <w:adjustRightInd/>
        <w:snapToGrid/>
        <w:spacing w:line="576" w:lineRule="exact"/>
        <w:ind w:firstLine="620" w:firstLineChars="200"/>
        <w:jc w:val="both"/>
        <w:textAlignment w:val="auto"/>
        <w:rPr>
          <w:rFonts w:hint="eastAsia" w:ascii="方正仿宋_GBK" w:hAnsi="方正仿宋_GBK" w:eastAsia="方正仿宋_GBK" w:cs="方正仿宋_GBK"/>
          <w:i w:val="0"/>
          <w:iCs w:val="0"/>
          <w:caps w:val="0"/>
          <w:color w:val="333333"/>
          <w:spacing w:val="0"/>
          <w:sz w:val="31"/>
          <w:szCs w:val="31"/>
          <w:shd w:val="clear" w:fill="FFFFFF"/>
        </w:rPr>
      </w:pPr>
      <w:r>
        <w:rPr>
          <w:rFonts w:hint="eastAsia" w:ascii="方正仿宋_GBK" w:hAnsi="方正仿宋_GBK" w:eastAsia="方正仿宋_GBK" w:cs="方正仿宋_GBK"/>
          <w:i w:val="0"/>
          <w:iCs w:val="0"/>
          <w:caps w:val="0"/>
          <w:color w:val="333333"/>
          <w:spacing w:val="0"/>
          <w:sz w:val="31"/>
          <w:szCs w:val="31"/>
          <w:shd w:val="clear" w:fill="FFFFFF"/>
        </w:rPr>
        <w:t>　202</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4</w:t>
      </w:r>
      <w:r>
        <w:rPr>
          <w:rFonts w:hint="eastAsia" w:ascii="方正仿宋_GBK" w:hAnsi="方正仿宋_GBK" w:eastAsia="方正仿宋_GBK" w:cs="方正仿宋_GBK"/>
          <w:i w:val="0"/>
          <w:iCs w:val="0"/>
          <w:caps w:val="0"/>
          <w:color w:val="333333"/>
          <w:spacing w:val="0"/>
          <w:sz w:val="31"/>
          <w:szCs w:val="31"/>
          <w:shd w:val="clear" w:fill="FFFFFF"/>
        </w:rPr>
        <w:t>年，</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区民政局</w:t>
      </w:r>
      <w:r>
        <w:rPr>
          <w:rFonts w:hint="eastAsia" w:ascii="方正仿宋_GBK" w:hAnsi="方正仿宋_GBK" w:eastAsia="方正仿宋_GBK" w:cs="方正仿宋_GBK"/>
          <w:i w:val="0"/>
          <w:iCs w:val="0"/>
          <w:caps w:val="0"/>
          <w:color w:val="333333"/>
          <w:spacing w:val="0"/>
          <w:sz w:val="31"/>
          <w:szCs w:val="31"/>
          <w:shd w:val="clear" w:fill="FFFFFF"/>
        </w:rPr>
        <w:t>坚持以习近平新时代中国特色社会主义思想为指导，全面贯彻落实党的二十大和二十届</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三</w:t>
      </w:r>
      <w:r>
        <w:rPr>
          <w:rFonts w:hint="eastAsia" w:ascii="方正仿宋_GBK" w:hAnsi="方正仿宋_GBK" w:eastAsia="方正仿宋_GBK" w:cs="方正仿宋_GBK"/>
          <w:i w:val="0"/>
          <w:iCs w:val="0"/>
          <w:caps w:val="0"/>
          <w:color w:val="333333"/>
          <w:spacing w:val="0"/>
          <w:sz w:val="31"/>
          <w:szCs w:val="31"/>
          <w:shd w:val="clear" w:fill="FFFFFF"/>
        </w:rPr>
        <w:t>中全会精神，深入学习贯彻习近平总书记关于</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民政</w:t>
      </w:r>
      <w:r>
        <w:rPr>
          <w:rFonts w:hint="eastAsia" w:ascii="方正仿宋_GBK" w:hAnsi="方正仿宋_GBK" w:eastAsia="方正仿宋_GBK" w:cs="方正仿宋_GBK"/>
          <w:i w:val="0"/>
          <w:iCs w:val="0"/>
          <w:caps w:val="0"/>
          <w:color w:val="333333"/>
          <w:spacing w:val="0"/>
          <w:sz w:val="31"/>
          <w:szCs w:val="31"/>
          <w:shd w:val="clear" w:fill="FFFFFF"/>
        </w:rPr>
        <w:t>工作重要论述，认真执行《政府信息公开条例》，着力深化政务公开，以公开促落实、促规范、促服务，助力</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綦江民政</w:t>
      </w:r>
      <w:r>
        <w:rPr>
          <w:rFonts w:hint="eastAsia" w:ascii="方正仿宋_GBK" w:hAnsi="方正仿宋_GBK" w:eastAsia="方正仿宋_GBK" w:cs="方正仿宋_GBK"/>
          <w:i w:val="0"/>
          <w:iCs w:val="0"/>
          <w:caps w:val="0"/>
          <w:color w:val="333333"/>
          <w:spacing w:val="0"/>
          <w:sz w:val="31"/>
          <w:szCs w:val="31"/>
          <w:shd w:val="clear" w:fill="FFFFFF"/>
        </w:rPr>
        <w:t>工作高质量发展。</w:t>
      </w:r>
    </w:p>
    <w:p>
      <w:pPr>
        <w:keepNext w:val="0"/>
        <w:keepLines w:val="0"/>
        <w:pageBreakBefore w:val="0"/>
        <w:widowControl w:val="0"/>
        <w:numPr>
          <w:ilvl w:val="0"/>
          <w:numId w:val="0"/>
        </w:numPr>
        <w:kinsoku w:val="0"/>
        <w:wordWrap/>
        <w:overflowPunct w:val="0"/>
        <w:topLinePunct w:val="0"/>
        <w:autoSpaceDE w:val="0"/>
        <w:autoSpaceDN w:val="0"/>
        <w:bidi w:val="0"/>
        <w:adjustRightInd/>
        <w:snapToGrid/>
        <w:spacing w:line="576" w:lineRule="exact"/>
        <w:ind w:firstLine="640" w:firstLineChars="200"/>
        <w:jc w:val="both"/>
        <w:textAlignment w:val="auto"/>
        <w:rPr>
          <w:rFonts w:hint="eastAsia" w:ascii="方正仿宋_GBK" w:hAnsi="方正仿宋_GBK" w:eastAsia="方正仿宋_GBK" w:cs="方正仿宋_GBK"/>
          <w:i w:val="0"/>
          <w:iCs w:val="0"/>
          <w:caps w:val="0"/>
          <w:color w:val="333333"/>
          <w:spacing w:val="0"/>
          <w:sz w:val="31"/>
          <w:szCs w:val="31"/>
          <w:shd w:val="clear" w:fill="FFFFFF"/>
          <w:lang w:eastAsia="zh-CN"/>
        </w:rPr>
      </w:pPr>
      <w:r>
        <w:rPr>
          <w:rFonts w:hint="eastAsia" w:ascii="方正楷体_GBK" w:hAnsi="方正楷体_GBK" w:eastAsia="方正楷体_GBK" w:cs="方正楷体_GBK"/>
          <w:i w:val="0"/>
          <w:iCs w:val="0"/>
          <w:caps w:val="0"/>
          <w:color w:val="333333"/>
          <w:spacing w:val="0"/>
          <w:sz w:val="32"/>
          <w:szCs w:val="32"/>
          <w:shd w:val="clear" w:fill="FFFFFF"/>
          <w:lang w:val="en-US" w:eastAsia="zh-CN"/>
        </w:rPr>
        <w:t>（一）主动公开方面。</w:t>
      </w:r>
      <w:r>
        <w:rPr>
          <w:rFonts w:hint="eastAsia" w:ascii="方正仿宋_GBK" w:hAnsi="方正仿宋_GBK" w:eastAsia="方正仿宋_GBK" w:cs="方正仿宋_GBK"/>
          <w:i w:val="0"/>
          <w:iCs w:val="0"/>
          <w:caps w:val="0"/>
          <w:color w:val="333333"/>
          <w:spacing w:val="0"/>
          <w:sz w:val="31"/>
          <w:szCs w:val="31"/>
          <w:shd w:val="clear" w:fill="FFFFFF"/>
        </w:rPr>
        <w:t>加强对涉及公众利益调整、需要公众广泛知晓的政府信息公开力度，突出民政主责主业和群众关注重点热点</w:t>
      </w:r>
      <w:r>
        <w:rPr>
          <w:rFonts w:hint="eastAsia" w:ascii="方正仿宋_GBK" w:hAnsi="方正仿宋_GBK" w:eastAsia="方正仿宋_GBK" w:cs="方正仿宋_GBK"/>
          <w:i w:val="0"/>
          <w:iCs w:val="0"/>
          <w:caps w:val="0"/>
          <w:color w:val="333333"/>
          <w:spacing w:val="0"/>
          <w:sz w:val="31"/>
          <w:szCs w:val="31"/>
          <w:shd w:val="clear" w:fill="FFFFFF"/>
          <w:lang w:eastAsia="zh-CN"/>
        </w:rPr>
        <w:t>，</w:t>
      </w:r>
      <w:r>
        <w:rPr>
          <w:rFonts w:hint="eastAsia" w:ascii="方正仿宋_GBK" w:hAnsi="方正仿宋_GBK" w:eastAsia="方正仿宋_GBK" w:cs="方正仿宋_GBK"/>
          <w:i w:val="0"/>
          <w:iCs w:val="0"/>
          <w:caps w:val="0"/>
          <w:color w:val="333333"/>
          <w:spacing w:val="0"/>
          <w:sz w:val="31"/>
          <w:szCs w:val="31"/>
          <w:shd w:val="clear" w:fill="FFFFFF"/>
        </w:rPr>
        <w:t>全年通过网站、</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政务</w:t>
      </w:r>
      <w:r>
        <w:rPr>
          <w:rFonts w:hint="eastAsia" w:ascii="方正仿宋_GBK" w:hAnsi="方正仿宋_GBK" w:eastAsia="方正仿宋_GBK" w:cs="方正仿宋_GBK"/>
          <w:i w:val="0"/>
          <w:iCs w:val="0"/>
          <w:caps w:val="0"/>
          <w:color w:val="333333"/>
          <w:spacing w:val="0"/>
          <w:sz w:val="31"/>
          <w:szCs w:val="31"/>
          <w:shd w:val="clear" w:fill="FFFFFF"/>
        </w:rPr>
        <w:t>新媒体主动公开政府信息</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699</w:t>
      </w:r>
      <w:r>
        <w:rPr>
          <w:rFonts w:hint="eastAsia" w:ascii="方正仿宋_GBK" w:hAnsi="方正仿宋_GBK" w:eastAsia="方正仿宋_GBK" w:cs="方正仿宋_GBK"/>
          <w:i w:val="0"/>
          <w:iCs w:val="0"/>
          <w:caps w:val="0"/>
          <w:color w:val="333333"/>
          <w:spacing w:val="0"/>
          <w:sz w:val="31"/>
          <w:szCs w:val="31"/>
          <w:shd w:val="clear" w:fill="FFFFFF"/>
        </w:rPr>
        <w:t>条</w:t>
      </w:r>
      <w:r>
        <w:rPr>
          <w:rFonts w:hint="eastAsia" w:ascii="方正仿宋_GBK" w:hAnsi="方正仿宋_GBK" w:eastAsia="方正仿宋_GBK" w:cs="方正仿宋_GBK"/>
          <w:i w:val="0"/>
          <w:iCs w:val="0"/>
          <w:caps w:val="0"/>
          <w:color w:val="333333"/>
          <w:spacing w:val="0"/>
          <w:sz w:val="31"/>
          <w:szCs w:val="31"/>
          <w:shd w:val="clear" w:fill="FFFFFF"/>
          <w:lang w:eastAsia="zh-CN"/>
        </w:rPr>
        <w:t>，</w:t>
      </w:r>
      <w:r>
        <w:rPr>
          <w:rFonts w:hint="eastAsia" w:ascii="方正仿宋_GBK" w:hAnsi="方正仿宋_GBK" w:eastAsia="方正仿宋_GBK" w:cs="方正仿宋_GBK"/>
          <w:i w:val="0"/>
          <w:iCs w:val="0"/>
          <w:caps w:val="0"/>
          <w:color w:val="333333"/>
          <w:spacing w:val="0"/>
          <w:sz w:val="31"/>
          <w:szCs w:val="31"/>
          <w:shd w:val="clear" w:fill="FFFFFF"/>
        </w:rPr>
        <w:t>采取文字解读、图片解读等群众喜闻乐见的解读方式，提升公开质量，增强公开实效</w:t>
      </w:r>
      <w:r>
        <w:rPr>
          <w:rFonts w:hint="eastAsia" w:ascii="方正仿宋_GBK" w:hAnsi="方正仿宋_GBK" w:eastAsia="方正仿宋_GBK" w:cs="方正仿宋_GBK"/>
          <w:i w:val="0"/>
          <w:iCs w:val="0"/>
          <w:caps w:val="0"/>
          <w:color w:val="333333"/>
          <w:spacing w:val="0"/>
          <w:sz w:val="31"/>
          <w:szCs w:val="31"/>
          <w:shd w:val="clear" w:fill="FFFFFF"/>
          <w:lang w:eastAsia="zh-CN"/>
        </w:rPr>
        <w:t>。</w:t>
      </w:r>
    </w:p>
    <w:p>
      <w:pPr>
        <w:keepNext w:val="0"/>
        <w:keepLines w:val="0"/>
        <w:pageBreakBefore w:val="0"/>
        <w:widowControl w:val="0"/>
        <w:numPr>
          <w:ilvl w:val="0"/>
          <w:numId w:val="0"/>
        </w:numPr>
        <w:kinsoku w:val="0"/>
        <w:wordWrap/>
        <w:overflowPunct w:val="0"/>
        <w:topLinePunct w:val="0"/>
        <w:autoSpaceDE w:val="0"/>
        <w:autoSpaceDN w:val="0"/>
        <w:bidi w:val="0"/>
        <w:adjustRightInd/>
        <w:snapToGrid/>
        <w:spacing w:line="576" w:lineRule="exact"/>
        <w:ind w:firstLine="640" w:firstLineChars="200"/>
        <w:jc w:val="both"/>
        <w:textAlignment w:val="auto"/>
        <w:rPr>
          <w:rFonts w:hint="eastAsia" w:ascii="方正仿宋_GBK" w:hAnsi="方正仿宋_GBK" w:eastAsia="方正仿宋_GBK" w:cs="方正仿宋_GBK"/>
          <w:i w:val="0"/>
          <w:iCs w:val="0"/>
          <w:caps w:val="0"/>
          <w:color w:val="333333"/>
          <w:spacing w:val="0"/>
          <w:sz w:val="31"/>
          <w:szCs w:val="31"/>
          <w:shd w:val="clear" w:fill="FFFFFF"/>
          <w:lang w:eastAsia="zh-CN"/>
        </w:rPr>
      </w:pPr>
      <w:r>
        <w:rPr>
          <w:rFonts w:hint="eastAsia" w:ascii="方正楷体_GBK" w:hAnsi="方正楷体_GBK" w:eastAsia="方正楷体_GBK" w:cs="方正楷体_GBK"/>
          <w:i w:val="0"/>
          <w:iCs w:val="0"/>
          <w:caps w:val="0"/>
          <w:color w:val="333333"/>
          <w:spacing w:val="0"/>
          <w:sz w:val="32"/>
          <w:szCs w:val="32"/>
          <w:shd w:val="clear" w:fill="FFFFFF"/>
          <w:lang w:eastAsia="zh-CN"/>
        </w:rPr>
        <w:t>（</w:t>
      </w:r>
      <w:r>
        <w:rPr>
          <w:rFonts w:hint="eastAsia" w:ascii="方正楷体_GBK" w:hAnsi="方正楷体_GBK" w:eastAsia="方正楷体_GBK" w:cs="方正楷体_GBK"/>
          <w:i w:val="0"/>
          <w:iCs w:val="0"/>
          <w:caps w:val="0"/>
          <w:color w:val="333333"/>
          <w:spacing w:val="0"/>
          <w:sz w:val="32"/>
          <w:szCs w:val="32"/>
          <w:shd w:val="clear" w:fill="FFFFFF"/>
          <w:lang w:val="en-US" w:eastAsia="zh-CN"/>
        </w:rPr>
        <w:t>二</w:t>
      </w:r>
      <w:r>
        <w:rPr>
          <w:rFonts w:hint="eastAsia" w:ascii="方正楷体_GBK" w:hAnsi="方正楷体_GBK" w:eastAsia="方正楷体_GBK" w:cs="方正楷体_GBK"/>
          <w:i w:val="0"/>
          <w:iCs w:val="0"/>
          <w:caps w:val="0"/>
          <w:color w:val="333333"/>
          <w:spacing w:val="0"/>
          <w:sz w:val="32"/>
          <w:szCs w:val="32"/>
          <w:shd w:val="clear" w:fill="FFFFFF"/>
          <w:lang w:eastAsia="zh-CN"/>
        </w:rPr>
        <w:t>）</w:t>
      </w:r>
      <w:r>
        <w:rPr>
          <w:rFonts w:ascii="方正楷体_GBK" w:hAnsi="方正楷体_GBK" w:eastAsia="方正楷体_GBK" w:cs="方正楷体_GBK"/>
          <w:i w:val="0"/>
          <w:iCs w:val="0"/>
          <w:caps w:val="0"/>
          <w:color w:val="333333"/>
          <w:spacing w:val="0"/>
          <w:sz w:val="32"/>
          <w:szCs w:val="32"/>
          <w:shd w:val="clear" w:fill="FFFFFF"/>
        </w:rPr>
        <w:t>依申请公开方面。</w:t>
      </w:r>
      <w:r>
        <w:rPr>
          <w:rFonts w:hint="eastAsia" w:ascii="方正仿宋_GBK" w:hAnsi="方正仿宋_GBK" w:eastAsia="方正仿宋_GBK" w:cs="方正仿宋_GBK"/>
          <w:i w:val="0"/>
          <w:iCs w:val="0"/>
          <w:caps w:val="0"/>
          <w:color w:val="333333"/>
          <w:spacing w:val="0"/>
          <w:sz w:val="31"/>
          <w:szCs w:val="31"/>
          <w:shd w:val="clear" w:fill="FFFFFF"/>
        </w:rPr>
        <w:t>严格落实《重庆市人民政府办公厅关于进一步做好政府信息依申请公开工作的通知》（渝府办发〔2020〕</w:t>
      </w:r>
      <w:r>
        <w:rPr>
          <w:rFonts w:hint="default" w:ascii="方正仿宋_GBK" w:hAnsi="方正仿宋_GBK" w:eastAsia="方正仿宋_GBK" w:cs="方正仿宋_GBK"/>
          <w:i w:val="0"/>
          <w:iCs w:val="0"/>
          <w:caps w:val="0"/>
          <w:color w:val="333333"/>
          <w:spacing w:val="0"/>
          <w:sz w:val="31"/>
          <w:szCs w:val="31"/>
          <w:shd w:val="clear" w:fill="FFFFFF"/>
        </w:rPr>
        <w:t>70</w:t>
      </w:r>
      <w:r>
        <w:rPr>
          <w:rFonts w:hint="eastAsia" w:ascii="方正仿宋_GBK" w:hAnsi="方正仿宋_GBK" w:eastAsia="方正仿宋_GBK" w:cs="方正仿宋_GBK"/>
          <w:i w:val="0"/>
          <w:iCs w:val="0"/>
          <w:caps w:val="0"/>
          <w:color w:val="333333"/>
          <w:spacing w:val="0"/>
          <w:sz w:val="31"/>
          <w:szCs w:val="31"/>
          <w:shd w:val="clear" w:fill="FFFFFF"/>
        </w:rPr>
        <w:t>号）文件要求，配置专人负责信息公开申请工作</w:t>
      </w:r>
      <w:r>
        <w:rPr>
          <w:rFonts w:hint="eastAsia" w:ascii="方正仿宋_GBK" w:hAnsi="方正仿宋_GBK" w:eastAsia="方正仿宋_GBK" w:cs="方正仿宋_GBK"/>
          <w:i w:val="0"/>
          <w:iCs w:val="0"/>
          <w:caps w:val="0"/>
          <w:color w:val="333333"/>
          <w:spacing w:val="0"/>
          <w:sz w:val="31"/>
          <w:szCs w:val="31"/>
          <w:shd w:val="clear" w:fill="FFFFFF"/>
          <w:lang w:eastAsia="zh-CN"/>
        </w:rPr>
        <w:t>，</w:t>
      </w:r>
      <w:r>
        <w:rPr>
          <w:rFonts w:hint="eastAsia" w:ascii="方正仿宋_GBK" w:hAnsi="方正仿宋_GBK" w:eastAsia="方正仿宋_GBK" w:cs="方正仿宋_GBK"/>
          <w:i w:val="0"/>
          <w:iCs w:val="0"/>
          <w:caps w:val="0"/>
          <w:color w:val="333333"/>
          <w:spacing w:val="0"/>
          <w:sz w:val="31"/>
          <w:szCs w:val="31"/>
          <w:shd w:val="clear" w:fill="FFFFFF"/>
        </w:rPr>
        <w:t>本年度共接到政府信息公开申请</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1</w:t>
      </w:r>
      <w:r>
        <w:rPr>
          <w:rFonts w:hint="eastAsia" w:ascii="方正仿宋_GBK" w:hAnsi="方正仿宋_GBK" w:eastAsia="方正仿宋_GBK" w:cs="方正仿宋_GBK"/>
          <w:i w:val="0"/>
          <w:iCs w:val="0"/>
          <w:caps w:val="0"/>
          <w:color w:val="333333"/>
          <w:spacing w:val="0"/>
          <w:sz w:val="31"/>
          <w:szCs w:val="31"/>
          <w:shd w:val="clear" w:fill="FFFFFF"/>
        </w:rPr>
        <w:t>件，均严格按照《政府信息公开条例》等有关规定进行办理和答复</w:t>
      </w:r>
      <w:r>
        <w:rPr>
          <w:rFonts w:hint="eastAsia" w:ascii="方正仿宋_GBK" w:hAnsi="方正仿宋_GBK" w:eastAsia="方正仿宋_GBK" w:cs="方正仿宋_GBK"/>
          <w:i w:val="0"/>
          <w:iCs w:val="0"/>
          <w:caps w:val="0"/>
          <w:color w:val="333333"/>
          <w:spacing w:val="0"/>
          <w:sz w:val="31"/>
          <w:szCs w:val="31"/>
          <w:shd w:val="clear" w:fill="FFFFFF"/>
          <w:lang w:eastAsia="zh-CN"/>
        </w:rPr>
        <w:t>。</w:t>
      </w:r>
    </w:p>
    <w:p>
      <w:pPr>
        <w:keepNext w:val="0"/>
        <w:keepLines w:val="0"/>
        <w:pageBreakBefore w:val="0"/>
        <w:widowControl w:val="0"/>
        <w:numPr>
          <w:ilvl w:val="0"/>
          <w:numId w:val="0"/>
        </w:numPr>
        <w:kinsoku w:val="0"/>
        <w:wordWrap/>
        <w:overflowPunct w:val="0"/>
        <w:topLinePunct w:val="0"/>
        <w:autoSpaceDE w:val="0"/>
        <w:autoSpaceDN w:val="0"/>
        <w:bidi w:val="0"/>
        <w:adjustRightInd/>
        <w:snapToGrid/>
        <w:spacing w:line="576"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i w:val="0"/>
          <w:iCs w:val="0"/>
          <w:caps w:val="0"/>
          <w:color w:val="333333"/>
          <w:spacing w:val="0"/>
          <w:sz w:val="32"/>
          <w:szCs w:val="32"/>
          <w:shd w:val="clear" w:fill="FFFFFF"/>
          <w:lang w:eastAsia="zh-CN"/>
        </w:rPr>
        <w:t>（</w:t>
      </w:r>
      <w:r>
        <w:rPr>
          <w:rFonts w:hint="eastAsia" w:ascii="方正楷体_GBK" w:hAnsi="方正楷体_GBK" w:eastAsia="方正楷体_GBK" w:cs="方正楷体_GBK"/>
          <w:i w:val="0"/>
          <w:iCs w:val="0"/>
          <w:caps w:val="0"/>
          <w:color w:val="333333"/>
          <w:spacing w:val="0"/>
          <w:sz w:val="32"/>
          <w:szCs w:val="32"/>
          <w:shd w:val="clear" w:fill="FFFFFF"/>
          <w:lang w:val="en-US" w:eastAsia="zh-CN"/>
        </w:rPr>
        <w:t>三</w:t>
      </w:r>
      <w:r>
        <w:rPr>
          <w:rFonts w:hint="eastAsia" w:ascii="方正楷体_GBK" w:hAnsi="方正楷体_GBK" w:eastAsia="方正楷体_GBK" w:cs="方正楷体_GBK"/>
          <w:i w:val="0"/>
          <w:iCs w:val="0"/>
          <w:caps w:val="0"/>
          <w:color w:val="333333"/>
          <w:spacing w:val="0"/>
          <w:sz w:val="32"/>
          <w:szCs w:val="32"/>
          <w:shd w:val="clear" w:fill="FFFFFF"/>
          <w:lang w:eastAsia="zh-CN"/>
        </w:rPr>
        <w:t>）</w:t>
      </w:r>
      <w:r>
        <w:rPr>
          <w:rFonts w:ascii="方正楷体_GBK" w:hAnsi="方正楷体_GBK" w:eastAsia="方正楷体_GBK" w:cs="方正楷体_GBK"/>
          <w:i w:val="0"/>
          <w:iCs w:val="0"/>
          <w:caps w:val="0"/>
          <w:color w:val="333333"/>
          <w:spacing w:val="0"/>
          <w:sz w:val="32"/>
          <w:szCs w:val="32"/>
          <w:shd w:val="clear" w:fill="FFFFFF"/>
        </w:rPr>
        <w:t>政府信息管理方面</w:t>
      </w:r>
      <w:r>
        <w:rPr>
          <w:rStyle w:val="6"/>
          <w:rFonts w:hint="eastAsia" w:ascii="方正楷体_GBK" w:hAnsi="方正楷体_GBK" w:eastAsia="方正楷体_GBK" w:cs="方正楷体_GBK"/>
          <w:i w:val="0"/>
          <w:iCs w:val="0"/>
          <w:caps w:val="0"/>
          <w:color w:val="3D3D3D"/>
          <w:spacing w:val="0"/>
          <w:sz w:val="32"/>
          <w:szCs w:val="32"/>
          <w:shd w:val="clear" w:fill="FFFFFF"/>
        </w:rPr>
        <w:t>。</w:t>
      </w:r>
      <w:r>
        <w:rPr>
          <w:rFonts w:hint="eastAsia" w:ascii="方正仿宋_GBK" w:hAnsi="方正仿宋_GBK" w:eastAsia="方正仿宋_GBK" w:cs="方正仿宋_GBK"/>
          <w:sz w:val="32"/>
          <w:szCs w:val="32"/>
          <w:lang w:val="en-US" w:eastAsia="zh-CN"/>
        </w:rPr>
        <w:t>深入贯彻执行政府信息发布审核制度，进一步规范民政领域政务信息公开平台的信息发布和管理，信息公开发布前落实三级审核机制。严格依照《中华人民共和国政府信息公开条例》及其他相关法规，开展政府信息公开保密审查工作。主动公开文件按照规定时间在20个工作日内通过网站公开，推进信息发布工作的规范化、制度化。</w:t>
      </w:r>
      <w:bookmarkStart w:id="0" w:name="_GoBack"/>
      <w:bookmarkEnd w:id="0"/>
    </w:p>
    <w:p>
      <w:pPr>
        <w:keepNext w:val="0"/>
        <w:keepLines w:val="0"/>
        <w:pageBreakBefore w:val="0"/>
        <w:widowControl w:val="0"/>
        <w:numPr>
          <w:ilvl w:val="0"/>
          <w:numId w:val="0"/>
        </w:numPr>
        <w:kinsoku w:val="0"/>
        <w:wordWrap/>
        <w:overflowPunct w:val="0"/>
        <w:topLinePunct w:val="0"/>
        <w:autoSpaceDE w:val="0"/>
        <w:autoSpaceDN w:val="0"/>
        <w:bidi w:val="0"/>
        <w:adjustRightInd/>
        <w:snapToGrid/>
        <w:spacing w:line="576" w:lineRule="exact"/>
        <w:ind w:firstLine="640" w:firstLineChars="200"/>
        <w:jc w:val="both"/>
        <w:textAlignment w:val="auto"/>
        <w:rPr>
          <w:rFonts w:hint="default" w:ascii="方正仿宋_GBK" w:hAnsi="方正仿宋_GBK" w:eastAsia="方正仿宋_GBK" w:cs="方正仿宋_GBK"/>
          <w:i w:val="0"/>
          <w:iCs w:val="0"/>
          <w:caps w:val="0"/>
          <w:color w:val="333333"/>
          <w:spacing w:val="0"/>
          <w:sz w:val="31"/>
          <w:szCs w:val="31"/>
          <w:shd w:val="clear" w:fill="FFFFFF"/>
          <w:lang w:val="en-US" w:eastAsia="zh-CN"/>
        </w:rPr>
      </w:pPr>
      <w:r>
        <w:rPr>
          <w:rFonts w:hint="eastAsia" w:ascii="方正楷体_GBK" w:hAnsi="方正楷体_GBK" w:eastAsia="方正楷体_GBK" w:cs="方正楷体_GBK"/>
          <w:sz w:val="32"/>
          <w:szCs w:val="32"/>
          <w:lang w:val="en-US" w:eastAsia="zh-CN"/>
        </w:rPr>
        <w:t>（四）平台建设方面。</w:t>
      </w:r>
      <w:r>
        <w:rPr>
          <w:rFonts w:hint="eastAsia" w:ascii="方正仿宋_GBK" w:hAnsi="方正仿宋_GBK" w:eastAsia="方正仿宋_GBK" w:cs="方正仿宋_GBK"/>
          <w:sz w:val="32"/>
          <w:szCs w:val="32"/>
          <w:lang w:val="en-US" w:eastAsia="zh-CN"/>
        </w:rPr>
        <w:t>建强用好网站和政务新媒体运营力量，不断提升政府信息公开网站、政务新媒体等公开平台的传播力、引导力、影响力、公信力，2024年完善惠民惠农财政补贴公示15项，较去年新增8项，“綦江民政”微信公众号定期发布民政政策、法律法规、热点回应等内容，全年在“綦江民政”微信公众号共发布信息180条。</w:t>
      </w:r>
      <w:r>
        <w:rPr>
          <w:rFonts w:hint="eastAsia" w:ascii="方正仿宋_GBK" w:hAnsi="方正仿宋_GBK" w:eastAsia="方正仿宋_GBK" w:cs="方正仿宋_GBK"/>
          <w:sz w:val="32"/>
          <w:szCs w:val="32"/>
          <w:lang w:val="en-US" w:eastAsia="zh-CN"/>
        </w:rPr>
        <w:br w:type="textWrapping"/>
      </w:r>
      <w:r>
        <w:rPr>
          <w:rFonts w:hint="eastAsia" w:ascii="方正仿宋_GBK" w:hAnsi="方正仿宋_GBK" w:eastAsia="方正仿宋_GBK" w:cs="方正仿宋_GBK"/>
          <w:sz w:val="32"/>
          <w:szCs w:val="32"/>
          <w:lang w:val="en-US" w:eastAsia="zh-CN"/>
        </w:rPr>
        <w:t xml:space="preserve">   </w:t>
      </w:r>
      <w:r>
        <w:rPr>
          <w:rFonts w:hint="eastAsia" w:ascii="方正楷体_GBK" w:hAnsi="方正楷体_GBK" w:eastAsia="方正楷体_GBK" w:cs="方正楷体_GBK"/>
          <w:sz w:val="32"/>
          <w:szCs w:val="32"/>
          <w:lang w:val="en-US" w:eastAsia="zh-CN"/>
        </w:rPr>
        <w:t>（五）监督保障方面。</w:t>
      </w:r>
      <w:r>
        <w:rPr>
          <w:rFonts w:hint="eastAsia" w:ascii="方正仿宋_GBK" w:hAnsi="方正仿宋_GBK" w:eastAsia="方正仿宋_GBK" w:cs="方正仿宋_GBK"/>
          <w:sz w:val="32"/>
          <w:szCs w:val="32"/>
          <w:lang w:val="en-US" w:eastAsia="zh-CN"/>
        </w:rPr>
        <w:t>严格执行政府信息公开保密审查制度，明确审查标准、程序和责任。健全政府信息公开工作台账和审批程序，</w:t>
      </w:r>
      <w:r>
        <w:rPr>
          <w:rFonts w:ascii="方正仿宋_GBK" w:hAnsi="方正仿宋_GBK" w:eastAsia="方正仿宋_GBK" w:cs="方正仿宋_GBK"/>
          <w:i w:val="0"/>
          <w:iCs w:val="0"/>
          <w:caps w:val="0"/>
          <w:color w:val="333333"/>
          <w:spacing w:val="0"/>
          <w:sz w:val="31"/>
          <w:szCs w:val="31"/>
          <w:shd w:val="clear" w:fill="FFFFFF"/>
        </w:rPr>
        <w:t>按照审批程序严格信息发布工作</w:t>
      </w:r>
      <w:r>
        <w:rPr>
          <w:rFonts w:hint="eastAsia" w:ascii="方正仿宋_GBK" w:hAnsi="方正仿宋_GBK" w:eastAsia="方正仿宋_GBK" w:cs="方正仿宋_GBK"/>
          <w:i w:val="0"/>
          <w:iCs w:val="0"/>
          <w:caps w:val="0"/>
          <w:color w:val="333333"/>
          <w:spacing w:val="0"/>
          <w:sz w:val="31"/>
          <w:szCs w:val="31"/>
          <w:shd w:val="clear" w:fill="FFFFFF"/>
          <w:lang w:eastAsia="zh-CN"/>
        </w:rPr>
        <w:t>，</w:t>
      </w:r>
      <w:r>
        <w:rPr>
          <w:rFonts w:hint="eastAsia" w:ascii="方正仿宋_GBK" w:hAnsi="方正仿宋_GBK" w:eastAsia="方正仿宋_GBK" w:cs="方正仿宋_GBK"/>
          <w:sz w:val="32"/>
          <w:szCs w:val="32"/>
          <w:lang w:val="en-US" w:eastAsia="zh-CN"/>
        </w:rPr>
        <w:t>定期盘点办理情况，强化政府信息公开工作考核监督，</w:t>
      </w:r>
      <w:r>
        <w:rPr>
          <w:rFonts w:ascii="方正仿宋_GBK" w:hAnsi="方正仿宋_GBK" w:eastAsia="方正仿宋_GBK" w:cs="方正仿宋_GBK"/>
          <w:i w:val="0"/>
          <w:iCs w:val="0"/>
          <w:caps w:val="0"/>
          <w:color w:val="333333"/>
          <w:spacing w:val="0"/>
          <w:sz w:val="31"/>
          <w:szCs w:val="31"/>
          <w:shd w:val="clear" w:fill="FFFFFF"/>
        </w:rPr>
        <w:t>稳步提升信息发布工作质效。</w:t>
      </w:r>
    </w:p>
    <w:p>
      <w:pPr>
        <w:keepNext w:val="0"/>
        <w:keepLines w:val="0"/>
        <w:pageBreakBefore w:val="0"/>
        <w:widowControl w:val="0"/>
        <w:numPr>
          <w:ilvl w:val="0"/>
          <w:numId w:val="0"/>
        </w:numPr>
        <w:kinsoku w:val="0"/>
        <w:wordWrap/>
        <w:overflowPunct w:val="0"/>
        <w:topLinePunct w:val="0"/>
        <w:autoSpaceDE w:val="0"/>
        <w:autoSpaceDN w:val="0"/>
        <w:bidi w:val="0"/>
        <w:adjustRightInd/>
        <w:snapToGrid/>
        <w:spacing w:line="576" w:lineRule="exact"/>
        <w:ind w:firstLine="620" w:firstLineChars="200"/>
        <w:jc w:val="left"/>
        <w:textAlignment w:val="auto"/>
        <w:rPr>
          <w:rFonts w:hint="eastAsia" w:ascii="方正仿宋_GBK" w:hAnsi="方正仿宋_GBK" w:eastAsia="方正仿宋_GBK" w:cs="方正仿宋_GBK"/>
          <w:i w:val="0"/>
          <w:iCs w:val="0"/>
          <w:caps w:val="0"/>
          <w:color w:val="333333"/>
          <w:spacing w:val="0"/>
          <w:sz w:val="31"/>
          <w:szCs w:val="31"/>
          <w:shd w:val="clear" w:fill="FFFFFF"/>
          <w:lang w:eastAsia="zh-CN"/>
        </w:rPr>
      </w:pPr>
      <w:r>
        <w:rPr>
          <w:rFonts w:ascii="方正黑体_GBK" w:hAnsi="方正黑体_GBK" w:eastAsia="方正黑体_GBK" w:cs="方正黑体_GBK"/>
          <w:i w:val="0"/>
          <w:iCs w:val="0"/>
          <w:caps w:val="0"/>
          <w:color w:val="333333"/>
          <w:spacing w:val="0"/>
          <w:sz w:val="31"/>
          <w:szCs w:val="31"/>
          <w:shd w:val="clear" w:fill="FFFFFF"/>
        </w:rPr>
        <w:t>二、主动公开政府信息情况</w:t>
      </w:r>
    </w:p>
    <w:tbl>
      <w:tblPr>
        <w:tblStyle w:val="4"/>
        <w:tblW w:w="9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45"/>
        <w:gridCol w:w="2445"/>
        <w:gridCol w:w="2445"/>
        <w:gridCol w:w="2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9780" w:type="dxa"/>
            <w:gridSpan w:val="4"/>
            <w:shd w:val="clear" w:color="auto" w:fill="FFFFFF" w:themeFill="background1"/>
            <w:tcMar>
              <w:left w:w="57" w:type="dxa"/>
              <w:right w:w="57" w:type="dxa"/>
            </w:tcMar>
            <w:vAlign w:val="center"/>
          </w:tcPr>
          <w:p>
            <w:pPr>
              <w:widowControl/>
              <w:jc w:val="center"/>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2445" w:type="dxa"/>
            <w:shd w:val="clear" w:color="auto" w:fill="FFFFFF" w:themeFill="background1"/>
            <w:tcMar>
              <w:left w:w="57" w:type="dxa"/>
              <w:right w:w="57" w:type="dxa"/>
            </w:tcMar>
            <w:vAlign w:val="center"/>
          </w:tcPr>
          <w:p>
            <w:pPr>
              <w:widowControl/>
              <w:jc w:val="center"/>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信息内容</w:t>
            </w:r>
          </w:p>
        </w:tc>
        <w:tc>
          <w:tcPr>
            <w:tcW w:w="2445" w:type="dxa"/>
            <w:shd w:val="clear" w:color="auto" w:fill="auto"/>
            <w:tcMar>
              <w:left w:w="57" w:type="dxa"/>
              <w:right w:w="57" w:type="dxa"/>
            </w:tcMar>
            <w:vAlign w:val="center"/>
          </w:tcPr>
          <w:p>
            <w:pPr>
              <w:widowControl/>
              <w:jc w:val="center"/>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本年制发件数</w:t>
            </w:r>
          </w:p>
        </w:tc>
        <w:tc>
          <w:tcPr>
            <w:tcW w:w="2445" w:type="dxa"/>
            <w:shd w:val="clear" w:color="auto" w:fill="auto"/>
            <w:tcMar>
              <w:left w:w="57" w:type="dxa"/>
              <w:right w:w="57" w:type="dxa"/>
            </w:tcMar>
            <w:vAlign w:val="center"/>
          </w:tcPr>
          <w:p>
            <w:pPr>
              <w:widowControl/>
              <w:jc w:val="center"/>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本年废止件数</w:t>
            </w:r>
          </w:p>
        </w:tc>
        <w:tc>
          <w:tcPr>
            <w:tcW w:w="2445" w:type="dxa"/>
            <w:shd w:val="clear" w:color="auto" w:fill="auto"/>
            <w:tcMar>
              <w:left w:w="57" w:type="dxa"/>
              <w:right w:w="57" w:type="dxa"/>
            </w:tcMar>
            <w:vAlign w:val="center"/>
          </w:tcPr>
          <w:p>
            <w:pPr>
              <w:widowControl/>
              <w:jc w:val="center"/>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2445" w:type="dxa"/>
            <w:shd w:val="clear" w:color="auto" w:fill="FFFFFF" w:themeFill="background1"/>
            <w:tcMar>
              <w:left w:w="57" w:type="dxa"/>
              <w:right w:w="57" w:type="dxa"/>
            </w:tcMar>
            <w:vAlign w:val="center"/>
          </w:tcPr>
          <w:p>
            <w:pPr>
              <w:widowControl/>
              <w:jc w:val="left"/>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规章</w:t>
            </w:r>
          </w:p>
        </w:tc>
        <w:tc>
          <w:tcPr>
            <w:tcW w:w="2445" w:type="dxa"/>
            <w:shd w:val="clear" w:color="auto" w:fill="auto"/>
            <w:tcMar>
              <w:left w:w="57" w:type="dxa"/>
              <w:right w:w="57" w:type="dxa"/>
            </w:tcMar>
            <w:vAlign w:val="center"/>
          </w:tcPr>
          <w:p>
            <w:pPr>
              <w:widowControl/>
              <w:jc w:val="center"/>
              <w:rPr>
                <w:rFonts w:hint="eastAsia" w:ascii="Times New Roman" w:hAnsi="Times New Roman" w:eastAsia="方正仿宋_GBK" w:cs="Times New Roman"/>
                <w:lang w:eastAsia="zh-CN"/>
              </w:rPr>
            </w:pPr>
            <w:r>
              <w:rPr>
                <w:rFonts w:hint="eastAsia" w:cs="Times New Roman"/>
                <w:kern w:val="0"/>
                <w:sz w:val="20"/>
                <w:lang w:val="en-US" w:eastAsia="zh-CN" w:bidi="ar"/>
              </w:rPr>
              <w:t>0</w:t>
            </w:r>
          </w:p>
        </w:tc>
        <w:tc>
          <w:tcPr>
            <w:tcW w:w="2445" w:type="dxa"/>
            <w:shd w:val="clear" w:color="auto" w:fill="auto"/>
            <w:tcMar>
              <w:left w:w="57" w:type="dxa"/>
              <w:right w:w="57" w:type="dxa"/>
            </w:tcMar>
            <w:vAlign w:val="center"/>
          </w:tcPr>
          <w:p>
            <w:pPr>
              <w:widowControl/>
              <w:jc w:val="center"/>
              <w:rPr>
                <w:rFonts w:hint="eastAsia" w:ascii="Times New Roman" w:hAnsi="Times New Roman" w:eastAsia="方正仿宋_GBK" w:cs="Times New Roman"/>
                <w:lang w:eastAsia="zh-CN"/>
              </w:rPr>
            </w:pPr>
            <w:r>
              <w:rPr>
                <w:rFonts w:hint="eastAsia" w:cs="Times New Roman"/>
                <w:kern w:val="0"/>
                <w:sz w:val="20"/>
                <w:lang w:val="en-US" w:eastAsia="zh-CN" w:bidi="ar"/>
              </w:rPr>
              <w:t>0</w:t>
            </w:r>
          </w:p>
        </w:tc>
        <w:tc>
          <w:tcPr>
            <w:tcW w:w="2445" w:type="dxa"/>
            <w:shd w:val="clear" w:color="auto" w:fill="auto"/>
            <w:tcMar>
              <w:left w:w="57" w:type="dxa"/>
              <w:right w:w="57" w:type="dxa"/>
            </w:tcMar>
            <w:vAlign w:val="center"/>
          </w:tcPr>
          <w:p>
            <w:pPr>
              <w:widowControl/>
              <w:jc w:val="center"/>
              <w:rPr>
                <w:rFonts w:hint="eastAsia" w:ascii="Times New Roman" w:hAnsi="Times New Roman" w:eastAsia="方正仿宋_GBK" w:cs="Times New Roman"/>
                <w:lang w:eastAsia="zh-CN"/>
              </w:rPr>
            </w:pPr>
            <w:r>
              <w:rPr>
                <w:rFonts w:hint="eastAsia" w:cs="Times New Roman"/>
                <w:kern w:val="0"/>
                <w:sz w:val="21"/>
                <w:szCs w:val="21"/>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2445" w:type="dxa"/>
            <w:shd w:val="clear" w:color="auto" w:fill="FFFFFF" w:themeFill="background1"/>
            <w:tcMar>
              <w:left w:w="57" w:type="dxa"/>
              <w:right w:w="57" w:type="dxa"/>
            </w:tcMar>
            <w:vAlign w:val="center"/>
          </w:tcPr>
          <w:p>
            <w:pPr>
              <w:widowControl/>
              <w:jc w:val="left"/>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行政规范性文件</w:t>
            </w:r>
          </w:p>
        </w:tc>
        <w:tc>
          <w:tcPr>
            <w:tcW w:w="2445" w:type="dxa"/>
            <w:shd w:val="clear" w:color="auto" w:fill="auto"/>
            <w:tcMar>
              <w:left w:w="57" w:type="dxa"/>
              <w:right w:w="57" w:type="dxa"/>
            </w:tcMar>
            <w:vAlign w:val="center"/>
          </w:tcPr>
          <w:p>
            <w:pPr>
              <w:widowControl/>
              <w:jc w:val="center"/>
              <w:rPr>
                <w:rFonts w:hint="eastAsia" w:ascii="Times New Roman" w:hAnsi="Times New Roman" w:eastAsia="方正仿宋_GBK" w:cs="Times New Roman"/>
                <w:lang w:eastAsia="zh-CN"/>
              </w:rPr>
            </w:pPr>
            <w:r>
              <w:rPr>
                <w:rFonts w:hint="eastAsia" w:cs="Times New Roman"/>
                <w:kern w:val="0"/>
                <w:sz w:val="20"/>
                <w:lang w:val="en-US" w:eastAsia="zh-CN" w:bidi="ar"/>
              </w:rPr>
              <w:t>3</w:t>
            </w:r>
          </w:p>
        </w:tc>
        <w:tc>
          <w:tcPr>
            <w:tcW w:w="2445" w:type="dxa"/>
            <w:shd w:val="clear" w:color="auto" w:fill="auto"/>
            <w:tcMar>
              <w:left w:w="57" w:type="dxa"/>
              <w:right w:w="57" w:type="dxa"/>
            </w:tcMar>
            <w:vAlign w:val="center"/>
          </w:tcPr>
          <w:p>
            <w:pPr>
              <w:widowControl/>
              <w:jc w:val="center"/>
              <w:rPr>
                <w:rFonts w:hint="eastAsia" w:ascii="Times New Roman" w:hAnsi="Times New Roman" w:eastAsia="方正仿宋_GBK" w:cs="Times New Roman"/>
                <w:lang w:eastAsia="zh-CN"/>
              </w:rPr>
            </w:pPr>
            <w:r>
              <w:rPr>
                <w:rFonts w:hint="eastAsia" w:cs="Times New Roman"/>
                <w:kern w:val="0"/>
                <w:sz w:val="20"/>
                <w:lang w:val="en-US" w:eastAsia="zh-CN" w:bidi="ar"/>
              </w:rPr>
              <w:t>5</w:t>
            </w:r>
          </w:p>
        </w:tc>
        <w:tc>
          <w:tcPr>
            <w:tcW w:w="2445" w:type="dxa"/>
            <w:shd w:val="clear" w:color="auto" w:fill="auto"/>
            <w:tcMar>
              <w:left w:w="57" w:type="dxa"/>
              <w:right w:w="57" w:type="dxa"/>
            </w:tcMar>
            <w:vAlign w:val="center"/>
          </w:tcPr>
          <w:p>
            <w:pPr>
              <w:widowControl/>
              <w:jc w:val="center"/>
              <w:rPr>
                <w:rFonts w:hint="default" w:ascii="Times New Roman" w:hAnsi="Times New Roman" w:eastAsia="方正仿宋_GBK" w:cs="Times New Roman"/>
                <w:lang w:val="en-US" w:eastAsia="zh-CN"/>
              </w:rPr>
            </w:pPr>
            <w:r>
              <w:rPr>
                <w:rFonts w:hint="eastAsia" w:cs="Times New Roman"/>
                <w:lang w:val="en-US" w:eastAsia="zh-CN"/>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9780" w:type="dxa"/>
            <w:gridSpan w:val="4"/>
            <w:shd w:val="clear" w:color="auto" w:fill="FFFFFF" w:themeFill="background1"/>
            <w:tcMar>
              <w:left w:w="57" w:type="dxa"/>
              <w:right w:w="57" w:type="dxa"/>
            </w:tcMar>
            <w:vAlign w:val="center"/>
          </w:tcPr>
          <w:p>
            <w:pPr>
              <w:widowControl/>
              <w:jc w:val="center"/>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2445" w:type="dxa"/>
            <w:shd w:val="clear" w:color="auto" w:fill="FFFFFF" w:themeFill="background1"/>
            <w:tcMar>
              <w:left w:w="57" w:type="dxa"/>
              <w:right w:w="57" w:type="dxa"/>
            </w:tcMar>
            <w:vAlign w:val="center"/>
          </w:tcPr>
          <w:p>
            <w:pPr>
              <w:widowControl/>
              <w:jc w:val="center"/>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信息内容</w:t>
            </w:r>
          </w:p>
        </w:tc>
        <w:tc>
          <w:tcPr>
            <w:tcW w:w="7335" w:type="dxa"/>
            <w:gridSpan w:val="3"/>
            <w:shd w:val="clear" w:color="auto" w:fill="FFFFFF" w:themeFill="background1"/>
            <w:tcMar>
              <w:left w:w="57" w:type="dxa"/>
              <w:right w:w="57" w:type="dxa"/>
            </w:tcMar>
            <w:vAlign w:val="center"/>
          </w:tcPr>
          <w:p>
            <w:pPr>
              <w:widowControl/>
              <w:jc w:val="center"/>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2445" w:type="dxa"/>
            <w:shd w:val="clear" w:color="auto" w:fill="FFFFFF" w:themeFill="background1"/>
            <w:tcMar>
              <w:left w:w="57" w:type="dxa"/>
              <w:right w:w="57" w:type="dxa"/>
            </w:tcMar>
            <w:vAlign w:val="center"/>
          </w:tcPr>
          <w:p>
            <w:pPr>
              <w:widowControl/>
              <w:jc w:val="left"/>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行政许可</w:t>
            </w:r>
          </w:p>
        </w:tc>
        <w:tc>
          <w:tcPr>
            <w:tcW w:w="7335" w:type="dxa"/>
            <w:gridSpan w:val="3"/>
            <w:shd w:val="clear" w:color="auto" w:fill="FFFFFF" w:themeFill="background1"/>
            <w:tcMar>
              <w:left w:w="57" w:type="dxa"/>
              <w:right w:w="57" w:type="dxa"/>
            </w:tcMar>
            <w:vAlign w:val="center"/>
          </w:tcPr>
          <w:p>
            <w:pPr>
              <w:widowControl/>
              <w:jc w:val="center"/>
              <w:rPr>
                <w:rFonts w:hint="default" w:ascii="Times New Roman" w:hAnsi="Times New Roman" w:eastAsia="方正仿宋_GBK" w:cs="Times New Roman"/>
                <w:lang w:val="en-US" w:eastAsia="zh-CN"/>
              </w:rPr>
            </w:pPr>
            <w:r>
              <w:rPr>
                <w:rFonts w:hint="eastAsia" w:cs="Times New Roman"/>
                <w:kern w:val="0"/>
                <w:sz w:val="21"/>
                <w:szCs w:val="21"/>
                <w:lang w:val="en-US" w:eastAsia="zh-CN"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9780" w:type="dxa"/>
            <w:gridSpan w:val="4"/>
            <w:shd w:val="clear" w:color="auto" w:fill="FFFFFF" w:themeFill="background1"/>
            <w:tcMar>
              <w:left w:w="57" w:type="dxa"/>
              <w:right w:w="57" w:type="dxa"/>
            </w:tcMar>
            <w:vAlign w:val="center"/>
          </w:tcPr>
          <w:p>
            <w:pPr>
              <w:widowControl/>
              <w:jc w:val="center"/>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2445" w:type="dxa"/>
            <w:shd w:val="clear" w:color="auto" w:fill="FFFFFF" w:themeFill="background1"/>
            <w:tcMar>
              <w:left w:w="57" w:type="dxa"/>
              <w:right w:w="57" w:type="dxa"/>
            </w:tcMar>
            <w:vAlign w:val="center"/>
          </w:tcPr>
          <w:p>
            <w:pPr>
              <w:widowControl/>
              <w:jc w:val="center"/>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信息内容</w:t>
            </w:r>
          </w:p>
        </w:tc>
        <w:tc>
          <w:tcPr>
            <w:tcW w:w="7335" w:type="dxa"/>
            <w:gridSpan w:val="3"/>
            <w:shd w:val="clear" w:color="auto" w:fill="FFFFFF" w:themeFill="background1"/>
            <w:tcMar>
              <w:left w:w="57" w:type="dxa"/>
              <w:right w:w="57" w:type="dxa"/>
            </w:tcMar>
            <w:vAlign w:val="center"/>
          </w:tcPr>
          <w:p>
            <w:pPr>
              <w:widowControl/>
              <w:jc w:val="center"/>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2445" w:type="dxa"/>
            <w:shd w:val="clear" w:color="auto" w:fill="FFFFFF" w:themeFill="background1"/>
            <w:tcMar>
              <w:left w:w="57" w:type="dxa"/>
              <w:right w:w="57" w:type="dxa"/>
            </w:tcMar>
            <w:vAlign w:val="center"/>
          </w:tcPr>
          <w:p>
            <w:pPr>
              <w:widowControl/>
              <w:jc w:val="left"/>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行政处罚</w:t>
            </w:r>
          </w:p>
        </w:tc>
        <w:tc>
          <w:tcPr>
            <w:tcW w:w="7335" w:type="dxa"/>
            <w:gridSpan w:val="3"/>
            <w:shd w:val="clear" w:color="auto" w:fill="FFFFFF" w:themeFill="background1"/>
            <w:tcMar>
              <w:left w:w="57" w:type="dxa"/>
              <w:right w:w="57" w:type="dxa"/>
            </w:tcMar>
            <w:vAlign w:val="center"/>
          </w:tcPr>
          <w:p>
            <w:pPr>
              <w:widowControl/>
              <w:jc w:val="center"/>
              <w:rPr>
                <w:rFonts w:hint="eastAsia" w:ascii="Times New Roman" w:hAnsi="Times New Roman" w:eastAsia="方正仿宋_GBK" w:cs="Times New Roman"/>
                <w:lang w:eastAsia="zh-CN"/>
              </w:rPr>
            </w:pPr>
            <w:r>
              <w:rPr>
                <w:rFonts w:hint="eastAsia" w:cs="Times New Roman"/>
                <w:kern w:val="0"/>
                <w:sz w:val="20"/>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2445" w:type="dxa"/>
            <w:shd w:val="clear" w:color="auto" w:fill="FFFFFF" w:themeFill="background1"/>
            <w:tcMar>
              <w:left w:w="57" w:type="dxa"/>
              <w:right w:w="57" w:type="dxa"/>
            </w:tcMar>
            <w:vAlign w:val="center"/>
          </w:tcPr>
          <w:p>
            <w:pPr>
              <w:widowControl/>
              <w:jc w:val="left"/>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行政强制</w:t>
            </w:r>
          </w:p>
        </w:tc>
        <w:tc>
          <w:tcPr>
            <w:tcW w:w="7335" w:type="dxa"/>
            <w:gridSpan w:val="3"/>
            <w:shd w:val="clear" w:color="auto" w:fill="FFFFFF" w:themeFill="background1"/>
            <w:tcMar>
              <w:left w:w="57" w:type="dxa"/>
              <w:right w:w="57" w:type="dxa"/>
            </w:tcMar>
            <w:vAlign w:val="center"/>
          </w:tcPr>
          <w:p>
            <w:pPr>
              <w:widowControl/>
              <w:jc w:val="center"/>
              <w:rPr>
                <w:rFonts w:hint="eastAsia" w:ascii="Times New Roman" w:hAnsi="Times New Roman" w:eastAsia="方正仿宋_GBK" w:cs="Times New Roman"/>
                <w:lang w:eastAsia="zh-CN"/>
              </w:rPr>
            </w:pPr>
            <w:r>
              <w:rPr>
                <w:rFonts w:hint="eastAsia" w:cs="Times New Roman"/>
                <w:kern w:val="0"/>
                <w:sz w:val="2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9780" w:type="dxa"/>
            <w:gridSpan w:val="4"/>
            <w:shd w:val="clear" w:color="auto" w:fill="FFFFFF" w:themeFill="background1"/>
            <w:tcMar>
              <w:left w:w="57" w:type="dxa"/>
              <w:right w:w="57" w:type="dxa"/>
            </w:tcMar>
            <w:vAlign w:val="center"/>
          </w:tcPr>
          <w:p>
            <w:pPr>
              <w:widowControl/>
              <w:jc w:val="center"/>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2445" w:type="dxa"/>
            <w:shd w:val="clear" w:color="auto" w:fill="FFFFFF" w:themeFill="background1"/>
            <w:tcMar>
              <w:left w:w="57" w:type="dxa"/>
              <w:right w:w="57" w:type="dxa"/>
            </w:tcMar>
            <w:vAlign w:val="center"/>
          </w:tcPr>
          <w:p>
            <w:pPr>
              <w:widowControl/>
              <w:jc w:val="center"/>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信息内容</w:t>
            </w:r>
          </w:p>
        </w:tc>
        <w:tc>
          <w:tcPr>
            <w:tcW w:w="7335" w:type="dxa"/>
            <w:gridSpan w:val="3"/>
            <w:shd w:val="clear" w:color="auto" w:fill="FFFFFF" w:themeFill="background1"/>
            <w:tcMar>
              <w:left w:w="57" w:type="dxa"/>
              <w:right w:w="57" w:type="dxa"/>
            </w:tcMar>
            <w:vAlign w:val="center"/>
          </w:tcPr>
          <w:p>
            <w:pPr>
              <w:widowControl/>
              <w:jc w:val="center"/>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2" w:hRule="atLeast"/>
          <w:jc w:val="center"/>
        </w:trPr>
        <w:tc>
          <w:tcPr>
            <w:tcW w:w="2445" w:type="dxa"/>
            <w:shd w:val="clear" w:color="auto" w:fill="FFFFFF" w:themeFill="background1"/>
            <w:tcMar>
              <w:left w:w="57" w:type="dxa"/>
              <w:right w:w="57" w:type="dxa"/>
            </w:tcMar>
            <w:vAlign w:val="center"/>
          </w:tcPr>
          <w:p>
            <w:pPr>
              <w:widowControl/>
              <w:jc w:val="left"/>
              <w:rPr>
                <w:rFonts w:hint="default" w:ascii="Times New Roman" w:hAnsi="Times New Roman" w:eastAsia="方正仿宋_GBK" w:cs="Times New Roman"/>
              </w:rPr>
            </w:pPr>
            <w:r>
              <w:rPr>
                <w:rFonts w:hint="default" w:ascii="Times New Roman" w:hAnsi="Times New Roman" w:eastAsia="方正仿宋_GBK" w:cs="Times New Roman"/>
                <w:kern w:val="0"/>
                <w:sz w:val="20"/>
                <w:lang w:bidi="ar"/>
              </w:rPr>
              <w:t>行政事业性收费</w:t>
            </w:r>
          </w:p>
        </w:tc>
        <w:tc>
          <w:tcPr>
            <w:tcW w:w="7335" w:type="dxa"/>
            <w:gridSpan w:val="3"/>
            <w:shd w:val="clear" w:color="auto" w:fill="FFFFFF" w:themeFill="background1"/>
            <w:tcMar>
              <w:left w:w="57" w:type="dxa"/>
              <w:right w:w="57" w:type="dxa"/>
            </w:tcMar>
            <w:vAlign w:val="center"/>
          </w:tcPr>
          <w:p>
            <w:pPr>
              <w:jc w:val="center"/>
              <w:rPr>
                <w:rFonts w:hint="eastAsia" w:ascii="Times New Roman" w:hAnsi="Times New Roman" w:eastAsia="方正仿宋_GBK" w:cs="Times New Roman"/>
                <w:sz w:val="24"/>
                <w:szCs w:val="24"/>
                <w:lang w:val="en-US" w:eastAsia="zh-CN"/>
              </w:rPr>
            </w:pPr>
            <w:r>
              <w:rPr>
                <w:rFonts w:hint="eastAsia" w:cs="Times New Roman"/>
                <w:sz w:val="24"/>
                <w:szCs w:val="24"/>
                <w:lang w:val="en-US" w:eastAsia="zh-CN"/>
              </w:rPr>
              <w:t>0</w:t>
            </w:r>
          </w:p>
        </w:tc>
      </w:tr>
    </w:tbl>
    <w:p>
      <w:pPr>
        <w:keepNext w:val="0"/>
        <w:keepLines w:val="0"/>
        <w:pageBreakBefore w:val="0"/>
        <w:widowControl w:val="0"/>
        <w:numPr>
          <w:ilvl w:val="0"/>
          <w:numId w:val="0"/>
        </w:numPr>
        <w:kinsoku w:val="0"/>
        <w:wordWrap/>
        <w:overflowPunct w:val="0"/>
        <w:topLinePunct w:val="0"/>
        <w:autoSpaceDE w:val="0"/>
        <w:autoSpaceDN w:val="0"/>
        <w:bidi w:val="0"/>
        <w:adjustRightInd/>
        <w:snapToGrid/>
        <w:spacing w:line="576" w:lineRule="exact"/>
        <w:jc w:val="left"/>
        <w:textAlignment w:val="auto"/>
        <w:rPr>
          <w:rFonts w:ascii="方正黑体_GBK" w:hAnsi="方正黑体_GBK" w:eastAsia="方正黑体_GBK" w:cs="方正黑体_GBK"/>
          <w:i w:val="0"/>
          <w:iCs w:val="0"/>
          <w:caps w:val="0"/>
          <w:color w:val="333333"/>
          <w:spacing w:val="0"/>
          <w:sz w:val="31"/>
          <w:szCs w:val="31"/>
          <w:shd w:val="clear" w:fill="FFFFFF"/>
        </w:rPr>
      </w:pPr>
      <w:r>
        <w:rPr>
          <w:rFonts w:hint="eastAsia" w:ascii="方正黑体_GBK" w:hAnsi="方正黑体_GBK" w:eastAsia="方正黑体_GBK" w:cs="方正黑体_GBK"/>
          <w:i w:val="0"/>
          <w:iCs w:val="0"/>
          <w:caps w:val="0"/>
          <w:color w:val="333333"/>
          <w:spacing w:val="0"/>
          <w:sz w:val="31"/>
          <w:szCs w:val="31"/>
          <w:shd w:val="clear" w:fill="FFFFFF"/>
          <w:lang w:val="en-US" w:eastAsia="zh-CN"/>
        </w:rPr>
        <w:t>三、</w:t>
      </w:r>
      <w:r>
        <w:rPr>
          <w:rFonts w:ascii="方正黑体_GBK" w:hAnsi="方正黑体_GBK" w:eastAsia="方正黑体_GBK" w:cs="方正黑体_GBK"/>
          <w:i w:val="0"/>
          <w:iCs w:val="0"/>
          <w:caps w:val="0"/>
          <w:color w:val="333333"/>
          <w:spacing w:val="0"/>
          <w:sz w:val="31"/>
          <w:szCs w:val="31"/>
          <w:shd w:val="clear" w:fill="FFFFFF"/>
        </w:rPr>
        <w:t>收到和处理政府信息公开申请情况</w:t>
      </w:r>
    </w:p>
    <w:tbl>
      <w:tblPr>
        <w:tblStyle w:val="4"/>
        <w:tblW w:w="89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07"/>
        <w:gridCol w:w="861"/>
        <w:gridCol w:w="7"/>
        <w:gridCol w:w="3010"/>
        <w:gridCol w:w="625"/>
        <w:gridCol w:w="602"/>
        <w:gridCol w:w="588"/>
        <w:gridCol w:w="755"/>
        <w:gridCol w:w="756"/>
        <w:gridCol w:w="560"/>
        <w:gridCol w:w="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blHeader/>
        </w:trPr>
        <w:tc>
          <w:tcPr>
            <w:tcW w:w="4385" w:type="dxa"/>
            <w:gridSpan w:val="4"/>
            <w:vMerge w:val="restart"/>
            <w:tcMar>
              <w:left w:w="17" w:type="dxa"/>
              <w:right w:w="17" w:type="dxa"/>
            </w:tcMar>
            <w:vAlign w:val="center"/>
          </w:tcPr>
          <w:p>
            <w:pPr>
              <w:spacing w:line="200" w:lineRule="exact"/>
              <w:jc w:val="center"/>
              <w:rPr>
                <w:rFonts w:hint="eastAsia" w:ascii="方正黑体_GBK" w:hAnsi="方正黑体_GBK" w:eastAsia="方正黑体_GBK" w:cs="方正黑体_GBK"/>
                <w:color w:val="000000" w:themeColor="text1"/>
                <w:spacing w:val="-4"/>
                <w:sz w:val="20"/>
                <w14:textFill>
                  <w14:solidFill>
                    <w14:schemeClr w14:val="tx1"/>
                  </w14:solidFill>
                </w14:textFill>
              </w:rPr>
            </w:pPr>
            <w:r>
              <w:rPr>
                <w:rFonts w:hint="eastAsia" w:ascii="方正黑体_GBK" w:hAnsi="方正黑体_GBK" w:eastAsia="方正黑体_GBK" w:cs="方正黑体_GBK"/>
                <w:color w:val="000000" w:themeColor="text1"/>
                <w:spacing w:val="-4"/>
                <w:sz w:val="20"/>
                <w14:textFill>
                  <w14:solidFill>
                    <w14:schemeClr w14:val="tx1"/>
                  </w14:solidFill>
                </w14:textFill>
              </w:rPr>
              <w:t>（本列数据的勾稽关系为：第一项加第二项之和，等于第三项加第四项之和）</w:t>
            </w:r>
          </w:p>
        </w:tc>
        <w:tc>
          <w:tcPr>
            <w:tcW w:w="4516" w:type="dxa"/>
            <w:gridSpan w:val="7"/>
            <w:tcMar>
              <w:left w:w="17" w:type="dxa"/>
              <w:right w:w="17" w:type="dxa"/>
            </w:tcMar>
            <w:vAlign w:val="center"/>
          </w:tcPr>
          <w:p>
            <w:pPr>
              <w:spacing w:line="200" w:lineRule="exact"/>
              <w:jc w:val="center"/>
              <w:rPr>
                <w:rFonts w:hint="eastAsia" w:ascii="方正黑体_GBK" w:hAnsi="方正黑体_GBK" w:eastAsia="方正黑体_GBK" w:cs="方正黑体_GBK"/>
                <w:color w:val="000000" w:themeColor="text1"/>
                <w:sz w:val="20"/>
                <w14:textFill>
                  <w14:solidFill>
                    <w14:schemeClr w14:val="tx1"/>
                  </w14:solidFill>
                </w14:textFill>
              </w:rPr>
            </w:pPr>
            <w:r>
              <w:rPr>
                <w:rFonts w:hint="eastAsia" w:ascii="方正黑体_GBK" w:hAnsi="方正黑体_GBK" w:eastAsia="方正黑体_GBK" w:cs="方正黑体_GBK"/>
                <w:color w:val="000000" w:themeColor="text1"/>
                <w:sz w:val="20"/>
                <w14:textFill>
                  <w14:solidFill>
                    <w14:schemeClr w14:val="tx1"/>
                  </w14:solidFill>
                </w14:textFill>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blHeader/>
        </w:trPr>
        <w:tc>
          <w:tcPr>
            <w:tcW w:w="4385" w:type="dxa"/>
            <w:gridSpan w:val="4"/>
            <w:vMerge w:val="continue"/>
            <w:tcMar>
              <w:left w:w="17" w:type="dxa"/>
              <w:right w:w="17" w:type="dxa"/>
            </w:tcMar>
            <w:vAlign w:val="center"/>
          </w:tcPr>
          <w:p>
            <w:pPr>
              <w:spacing w:line="200" w:lineRule="exact"/>
              <w:jc w:val="center"/>
              <w:rPr>
                <w:rFonts w:hint="eastAsia" w:ascii="方正黑体_GBK" w:hAnsi="方正黑体_GBK" w:eastAsia="方正黑体_GBK" w:cs="方正黑体_GBK"/>
                <w:color w:val="000000" w:themeColor="text1"/>
                <w:sz w:val="20"/>
                <w14:textFill>
                  <w14:solidFill>
                    <w14:schemeClr w14:val="tx1"/>
                  </w14:solidFill>
                </w14:textFill>
              </w:rPr>
            </w:pPr>
          </w:p>
        </w:tc>
        <w:tc>
          <w:tcPr>
            <w:tcW w:w="625" w:type="dxa"/>
            <w:vMerge w:val="restart"/>
            <w:tcMar>
              <w:left w:w="17" w:type="dxa"/>
              <w:right w:w="17" w:type="dxa"/>
            </w:tcMar>
            <w:vAlign w:val="center"/>
          </w:tcPr>
          <w:p>
            <w:pPr>
              <w:spacing w:line="200" w:lineRule="exact"/>
              <w:jc w:val="center"/>
              <w:rPr>
                <w:rFonts w:hint="eastAsia" w:ascii="方正黑体_GBK" w:hAnsi="方正黑体_GBK" w:eastAsia="方正黑体_GBK" w:cs="方正黑体_GBK"/>
                <w:color w:val="000000" w:themeColor="text1"/>
                <w:sz w:val="20"/>
                <w14:textFill>
                  <w14:solidFill>
                    <w14:schemeClr w14:val="tx1"/>
                  </w14:solidFill>
                </w14:textFill>
              </w:rPr>
            </w:pPr>
            <w:r>
              <w:rPr>
                <w:rFonts w:hint="eastAsia" w:ascii="方正黑体_GBK" w:hAnsi="方正黑体_GBK" w:eastAsia="方正黑体_GBK" w:cs="方正黑体_GBK"/>
                <w:color w:val="000000" w:themeColor="text1"/>
                <w:sz w:val="20"/>
                <w14:textFill>
                  <w14:solidFill>
                    <w14:schemeClr w14:val="tx1"/>
                  </w14:solidFill>
                </w14:textFill>
              </w:rPr>
              <w:t>自然人</w:t>
            </w:r>
          </w:p>
        </w:tc>
        <w:tc>
          <w:tcPr>
            <w:tcW w:w="3261" w:type="dxa"/>
            <w:gridSpan w:val="5"/>
            <w:tcMar>
              <w:left w:w="17" w:type="dxa"/>
              <w:right w:w="17" w:type="dxa"/>
            </w:tcMar>
            <w:vAlign w:val="center"/>
          </w:tcPr>
          <w:p>
            <w:pPr>
              <w:spacing w:line="200" w:lineRule="exact"/>
              <w:jc w:val="center"/>
              <w:rPr>
                <w:rFonts w:hint="eastAsia" w:ascii="方正黑体_GBK" w:hAnsi="方正黑体_GBK" w:eastAsia="方正黑体_GBK" w:cs="方正黑体_GBK"/>
                <w:color w:val="000000" w:themeColor="text1"/>
                <w:sz w:val="20"/>
                <w14:textFill>
                  <w14:solidFill>
                    <w14:schemeClr w14:val="tx1"/>
                  </w14:solidFill>
                </w14:textFill>
              </w:rPr>
            </w:pPr>
            <w:r>
              <w:rPr>
                <w:rFonts w:hint="eastAsia" w:ascii="方正黑体_GBK" w:hAnsi="方正黑体_GBK" w:eastAsia="方正黑体_GBK" w:cs="方正黑体_GBK"/>
                <w:color w:val="000000" w:themeColor="text1"/>
                <w:sz w:val="20"/>
                <w14:textFill>
                  <w14:solidFill>
                    <w14:schemeClr w14:val="tx1"/>
                  </w14:solidFill>
                </w14:textFill>
              </w:rPr>
              <w:t>法人或其他组织</w:t>
            </w:r>
          </w:p>
        </w:tc>
        <w:tc>
          <w:tcPr>
            <w:tcW w:w="630" w:type="dxa"/>
            <w:vMerge w:val="restart"/>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方正黑体_GBK" w:hAnsi="方正黑体_GBK" w:eastAsia="方正黑体_GBK" w:cs="方正黑体_GBK"/>
                <w:color w:val="000000" w:themeColor="text1"/>
                <w:sz w:val="20"/>
                <w14:textFill>
                  <w14:solidFill>
                    <w14:schemeClr w14:val="tx1"/>
                  </w14:solidFill>
                </w14:textFill>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Header/>
        </w:trPr>
        <w:tc>
          <w:tcPr>
            <w:tcW w:w="4385" w:type="dxa"/>
            <w:gridSpan w:val="4"/>
            <w:vMerge w:val="continue"/>
            <w:tcMar>
              <w:left w:w="17" w:type="dxa"/>
              <w:right w:w="17" w:type="dxa"/>
            </w:tcMar>
            <w:vAlign w:val="center"/>
          </w:tcPr>
          <w:p>
            <w:pPr>
              <w:spacing w:line="200" w:lineRule="exact"/>
              <w:jc w:val="center"/>
              <w:rPr>
                <w:rFonts w:hint="eastAsia" w:ascii="方正黑体_GBK" w:hAnsi="方正黑体_GBK" w:eastAsia="方正黑体_GBK" w:cs="方正黑体_GBK"/>
                <w:color w:val="000000" w:themeColor="text1"/>
                <w:sz w:val="20"/>
                <w14:textFill>
                  <w14:solidFill>
                    <w14:schemeClr w14:val="tx1"/>
                  </w14:solidFill>
                </w14:textFill>
              </w:rPr>
            </w:pPr>
          </w:p>
        </w:tc>
        <w:tc>
          <w:tcPr>
            <w:tcW w:w="625" w:type="dxa"/>
            <w:vMerge w:val="continue"/>
            <w:tcMar>
              <w:left w:w="17" w:type="dxa"/>
              <w:right w:w="17" w:type="dxa"/>
            </w:tcMar>
            <w:vAlign w:val="center"/>
          </w:tcPr>
          <w:p>
            <w:pPr>
              <w:spacing w:line="200" w:lineRule="exact"/>
              <w:jc w:val="center"/>
              <w:rPr>
                <w:rFonts w:hint="eastAsia" w:ascii="方正黑体_GBK" w:hAnsi="方正黑体_GBK" w:eastAsia="方正黑体_GBK" w:cs="方正黑体_GBK"/>
                <w:color w:val="000000" w:themeColor="text1"/>
                <w:sz w:val="20"/>
                <w14:textFill>
                  <w14:solidFill>
                    <w14:schemeClr w14:val="tx1"/>
                  </w14:solidFill>
                </w14:textFill>
              </w:rPr>
            </w:pPr>
          </w:p>
        </w:tc>
        <w:tc>
          <w:tcPr>
            <w:tcW w:w="602" w:type="dxa"/>
            <w:tcMar>
              <w:left w:w="17" w:type="dxa"/>
              <w:right w:w="17" w:type="dxa"/>
            </w:tcMar>
            <w:vAlign w:val="center"/>
          </w:tcPr>
          <w:p>
            <w:pPr>
              <w:spacing w:line="200" w:lineRule="exact"/>
              <w:jc w:val="center"/>
              <w:rPr>
                <w:rFonts w:hint="eastAsia" w:ascii="方正黑体_GBK" w:hAnsi="方正黑体_GBK" w:eastAsia="方正黑体_GBK" w:cs="方正黑体_GBK"/>
                <w:color w:val="000000" w:themeColor="text1"/>
                <w:sz w:val="20"/>
                <w14:textFill>
                  <w14:solidFill>
                    <w14:schemeClr w14:val="tx1"/>
                  </w14:solidFill>
                </w14:textFill>
              </w:rPr>
            </w:pPr>
            <w:r>
              <w:rPr>
                <w:rFonts w:hint="eastAsia" w:ascii="方正黑体_GBK" w:hAnsi="方正黑体_GBK" w:eastAsia="方正黑体_GBK" w:cs="方正黑体_GBK"/>
                <w:color w:val="000000" w:themeColor="text1"/>
                <w:sz w:val="20"/>
                <w14:textFill>
                  <w14:solidFill>
                    <w14:schemeClr w14:val="tx1"/>
                  </w14:solidFill>
                </w14:textFill>
              </w:rPr>
              <w:t>商业企业</w:t>
            </w:r>
          </w:p>
        </w:tc>
        <w:tc>
          <w:tcPr>
            <w:tcW w:w="588" w:type="dxa"/>
            <w:tcMar>
              <w:left w:w="17" w:type="dxa"/>
              <w:right w:w="17" w:type="dxa"/>
            </w:tcMar>
            <w:vAlign w:val="center"/>
          </w:tcPr>
          <w:p>
            <w:pPr>
              <w:spacing w:line="200" w:lineRule="exact"/>
              <w:jc w:val="center"/>
              <w:rPr>
                <w:rFonts w:hint="eastAsia" w:ascii="方正黑体_GBK" w:hAnsi="方正黑体_GBK" w:eastAsia="方正黑体_GBK" w:cs="方正黑体_GBK"/>
                <w:color w:val="000000" w:themeColor="text1"/>
                <w:sz w:val="20"/>
                <w14:textFill>
                  <w14:solidFill>
                    <w14:schemeClr w14:val="tx1"/>
                  </w14:solidFill>
                </w14:textFill>
              </w:rPr>
            </w:pPr>
            <w:r>
              <w:rPr>
                <w:rFonts w:hint="eastAsia" w:ascii="方正黑体_GBK" w:hAnsi="方正黑体_GBK" w:eastAsia="方正黑体_GBK" w:cs="方正黑体_GBK"/>
                <w:color w:val="000000" w:themeColor="text1"/>
                <w:sz w:val="20"/>
                <w14:textFill>
                  <w14:solidFill>
                    <w14:schemeClr w14:val="tx1"/>
                  </w14:solidFill>
                </w14:textFill>
              </w:rPr>
              <w:t>科研机构</w:t>
            </w:r>
          </w:p>
        </w:tc>
        <w:tc>
          <w:tcPr>
            <w:tcW w:w="755" w:type="dxa"/>
            <w:tcMar>
              <w:left w:w="17" w:type="dxa"/>
              <w:right w:w="17" w:type="dxa"/>
            </w:tcMar>
            <w:vAlign w:val="center"/>
          </w:tcPr>
          <w:p>
            <w:pPr>
              <w:spacing w:line="200" w:lineRule="exact"/>
              <w:jc w:val="center"/>
              <w:rPr>
                <w:rFonts w:hint="eastAsia" w:ascii="方正黑体_GBK" w:hAnsi="方正黑体_GBK" w:eastAsia="方正黑体_GBK" w:cs="方正黑体_GBK"/>
                <w:color w:val="000000" w:themeColor="text1"/>
                <w:sz w:val="20"/>
                <w14:textFill>
                  <w14:solidFill>
                    <w14:schemeClr w14:val="tx1"/>
                  </w14:solidFill>
                </w14:textFill>
              </w:rPr>
            </w:pPr>
            <w:r>
              <w:rPr>
                <w:rFonts w:hint="eastAsia" w:ascii="方正黑体_GBK" w:hAnsi="方正黑体_GBK" w:eastAsia="方正黑体_GBK" w:cs="方正黑体_GBK"/>
                <w:color w:val="000000" w:themeColor="text1"/>
                <w:sz w:val="20"/>
                <w14:textFill>
                  <w14:solidFill>
                    <w14:schemeClr w14:val="tx1"/>
                  </w14:solidFill>
                </w14:textFill>
              </w:rPr>
              <w:t>社会公益组织</w:t>
            </w:r>
          </w:p>
        </w:tc>
        <w:tc>
          <w:tcPr>
            <w:tcW w:w="756" w:type="dxa"/>
            <w:tcMar>
              <w:left w:w="17" w:type="dxa"/>
              <w:right w:w="17" w:type="dxa"/>
            </w:tcMar>
            <w:vAlign w:val="center"/>
          </w:tcPr>
          <w:p>
            <w:pPr>
              <w:spacing w:line="200" w:lineRule="exact"/>
              <w:jc w:val="center"/>
              <w:rPr>
                <w:rFonts w:hint="eastAsia" w:ascii="方正黑体_GBK" w:hAnsi="方正黑体_GBK" w:eastAsia="方正黑体_GBK" w:cs="方正黑体_GBK"/>
                <w:color w:val="000000" w:themeColor="text1"/>
                <w:sz w:val="20"/>
                <w14:textFill>
                  <w14:solidFill>
                    <w14:schemeClr w14:val="tx1"/>
                  </w14:solidFill>
                </w14:textFill>
              </w:rPr>
            </w:pPr>
            <w:r>
              <w:rPr>
                <w:rFonts w:hint="eastAsia" w:ascii="方正黑体_GBK" w:hAnsi="方正黑体_GBK" w:eastAsia="方正黑体_GBK" w:cs="方正黑体_GBK"/>
                <w:color w:val="000000" w:themeColor="text1"/>
                <w:sz w:val="20"/>
                <w14:textFill>
                  <w14:solidFill>
                    <w14:schemeClr w14:val="tx1"/>
                  </w14:solidFill>
                </w14:textFill>
              </w:rPr>
              <w:t>法律服务机构</w:t>
            </w:r>
          </w:p>
        </w:tc>
        <w:tc>
          <w:tcPr>
            <w:tcW w:w="560" w:type="dxa"/>
            <w:tcMar>
              <w:left w:w="17" w:type="dxa"/>
              <w:right w:w="17" w:type="dxa"/>
            </w:tcMar>
            <w:vAlign w:val="center"/>
          </w:tcPr>
          <w:p>
            <w:pPr>
              <w:spacing w:line="200" w:lineRule="exact"/>
              <w:jc w:val="center"/>
              <w:rPr>
                <w:rFonts w:hint="eastAsia" w:ascii="方正黑体_GBK" w:hAnsi="方正黑体_GBK" w:eastAsia="方正黑体_GBK" w:cs="方正黑体_GBK"/>
                <w:color w:val="000000" w:themeColor="text1"/>
                <w:sz w:val="20"/>
                <w14:textFill>
                  <w14:solidFill>
                    <w14:schemeClr w14:val="tx1"/>
                  </w14:solidFill>
                </w14:textFill>
              </w:rPr>
            </w:pPr>
            <w:r>
              <w:rPr>
                <w:rFonts w:hint="eastAsia" w:ascii="方正黑体_GBK" w:hAnsi="方正黑体_GBK" w:eastAsia="方正黑体_GBK" w:cs="方正黑体_GBK"/>
                <w:color w:val="000000" w:themeColor="text1"/>
                <w:sz w:val="20"/>
                <w14:textFill>
                  <w14:solidFill>
                    <w14:schemeClr w14:val="tx1"/>
                  </w14:solidFill>
                </w14:textFill>
              </w:rPr>
              <w:t>其他</w:t>
            </w:r>
          </w:p>
        </w:tc>
        <w:tc>
          <w:tcPr>
            <w:tcW w:w="630" w:type="dxa"/>
            <w:vMerge w:val="continue"/>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385" w:type="dxa"/>
            <w:gridSpan w:val="4"/>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一、本年新收政府信息公开申请数量</w:t>
            </w:r>
          </w:p>
        </w:tc>
        <w:tc>
          <w:tcPr>
            <w:tcW w:w="625" w:type="dxa"/>
            <w:tcMar>
              <w:left w:w="17" w:type="dxa"/>
              <w:right w:w="17" w:type="dxa"/>
            </w:tcMar>
            <w:vAlign w:val="center"/>
          </w:tcPr>
          <w:p>
            <w:pPr>
              <w:spacing w:line="200" w:lineRule="exact"/>
              <w:jc w:val="center"/>
              <w:rPr>
                <w:rFonts w:hint="eastAsia" w:ascii="Times New Roman" w:hAnsi="Times New Roman" w:eastAsia="方正仿宋_GBK" w:cs="Times New Roman"/>
                <w:color w:val="000000" w:themeColor="text1"/>
                <w:sz w:val="20"/>
                <w:lang w:val="en-US" w:eastAsia="zh-CN"/>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eastAsia" w:ascii="Times New Roman" w:hAnsi="Times New Roman" w:eastAsia="方正仿宋_GBK" w:cs="Times New Roman"/>
                <w:color w:val="000000" w:themeColor="text1"/>
                <w:sz w:val="20"/>
                <w:lang w:val="en-US" w:eastAsia="zh-CN"/>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1</w:t>
            </w:r>
          </w:p>
        </w:tc>
        <w:tc>
          <w:tcPr>
            <w:tcW w:w="588" w:type="dxa"/>
            <w:tcMar>
              <w:left w:w="17" w:type="dxa"/>
              <w:right w:w="17" w:type="dxa"/>
            </w:tcMar>
            <w:vAlign w:val="center"/>
          </w:tcPr>
          <w:p>
            <w:pPr>
              <w:spacing w:line="200" w:lineRule="exact"/>
              <w:jc w:val="center"/>
              <w:rPr>
                <w:rFonts w:hint="eastAsia" w:ascii="Times New Roman" w:hAnsi="Times New Roman" w:eastAsia="方正仿宋_GBK" w:cs="Times New Roman"/>
                <w:color w:val="000000" w:themeColor="text1"/>
                <w:sz w:val="20"/>
                <w:lang w:val="en-US" w:eastAsia="zh-CN"/>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eastAsia" w:ascii="Times New Roman" w:hAnsi="Times New Roman" w:eastAsia="方正仿宋_GBK" w:cs="Times New Roman"/>
                <w:color w:val="000000" w:themeColor="text1"/>
                <w:sz w:val="20"/>
                <w:lang w:val="en-US" w:eastAsia="zh-CN"/>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eastAsia" w:ascii="Times New Roman" w:hAnsi="Times New Roman" w:eastAsia="方正仿宋_GBK" w:cs="Times New Roman"/>
                <w:color w:val="000000" w:themeColor="text1"/>
                <w:sz w:val="20"/>
                <w:lang w:val="en-US" w:eastAsia="zh-CN"/>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eastAsia" w:ascii="Times New Roman" w:hAnsi="Times New Roman" w:eastAsia="方正仿宋_GBK" w:cs="Times New Roman"/>
                <w:color w:val="000000" w:themeColor="text1"/>
                <w:sz w:val="20"/>
                <w:lang w:val="en-US" w:eastAsia="zh-CN"/>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eastAsia" w:ascii="Times New Roman" w:hAnsi="Times New Roman" w:eastAsia="方正仿宋_GBK" w:cs="Times New Roman"/>
                <w:color w:val="000000" w:themeColor="text1"/>
                <w:sz w:val="20"/>
                <w:lang w:val="en-US" w:eastAsia="zh-CN"/>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385" w:type="dxa"/>
            <w:gridSpan w:val="4"/>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二、上年结转政府信息公开申请数量</w:t>
            </w:r>
          </w:p>
        </w:tc>
        <w:tc>
          <w:tcPr>
            <w:tcW w:w="625" w:type="dxa"/>
            <w:tcMar>
              <w:left w:w="17" w:type="dxa"/>
              <w:right w:w="17" w:type="dxa"/>
            </w:tcMar>
            <w:vAlign w:val="center"/>
          </w:tcPr>
          <w:p>
            <w:pPr>
              <w:spacing w:line="200" w:lineRule="exact"/>
              <w:jc w:val="center"/>
              <w:rPr>
                <w:rFonts w:hint="eastAsia" w:ascii="Times New Roman" w:hAnsi="Times New Roman" w:eastAsia="方正仿宋_GBK" w:cs="Times New Roman"/>
                <w:color w:val="000000" w:themeColor="text1"/>
                <w:sz w:val="20"/>
                <w:lang w:val="en-US" w:eastAsia="zh-CN"/>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7" w:type="dxa"/>
            <w:vMerge w:val="restart"/>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三、本年度办理结果</w:t>
            </w:r>
          </w:p>
        </w:tc>
        <w:tc>
          <w:tcPr>
            <w:tcW w:w="3878" w:type="dxa"/>
            <w:gridSpan w:val="3"/>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（一）予以公开</w:t>
            </w:r>
          </w:p>
        </w:tc>
        <w:tc>
          <w:tcPr>
            <w:tcW w:w="625" w:type="dxa"/>
            <w:tcMar>
              <w:left w:w="17" w:type="dxa"/>
              <w:right w:w="17" w:type="dxa"/>
            </w:tcMar>
            <w:vAlign w:val="center"/>
          </w:tcPr>
          <w:p>
            <w:pPr>
              <w:spacing w:line="200" w:lineRule="exact"/>
              <w:jc w:val="center"/>
              <w:rPr>
                <w:rFonts w:hint="eastAsia" w:ascii="Times New Roman" w:hAnsi="Times New Roman" w:eastAsia="方正仿宋_GBK" w:cs="Times New Roman"/>
                <w:color w:val="000000" w:themeColor="text1"/>
                <w:sz w:val="20"/>
                <w:lang w:val="en-US" w:eastAsia="zh-CN"/>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1</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eastAsia" w:ascii="Times New Roman" w:hAnsi="Times New Roman" w:eastAsia="方正仿宋_GBK" w:cs="Times New Roman"/>
                <w:color w:val="000000" w:themeColor="text1"/>
                <w:sz w:val="20"/>
                <w:lang w:val="en-US" w:eastAsia="zh-CN"/>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0"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878" w:type="dxa"/>
            <w:gridSpan w:val="3"/>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（二）部分公开（区分处理的，只计这一情形，不计其他情形）</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restart"/>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（三）不予公开</w:t>
            </w: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1.属于国家秘密</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pacing w:val="-6"/>
                <w:sz w:val="20"/>
                <w14:textFill>
                  <w14:solidFill>
                    <w14:schemeClr w14:val="tx1"/>
                  </w14:solidFill>
                </w14:textFill>
              </w:rPr>
            </w:pPr>
            <w:r>
              <w:rPr>
                <w:rFonts w:hint="default" w:ascii="Times New Roman" w:hAnsi="Times New Roman" w:eastAsia="方正仿宋_GBK" w:cs="Times New Roman"/>
                <w:color w:val="000000" w:themeColor="text1"/>
                <w:spacing w:val="-6"/>
                <w:sz w:val="20"/>
                <w14:textFill>
                  <w14:solidFill>
                    <w14:schemeClr w14:val="tx1"/>
                  </w14:solidFill>
                </w14:textFill>
              </w:rPr>
              <w:t>2.其他法律行政法规禁止公开</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3.危及</w:t>
            </w:r>
            <w:r>
              <w:rPr>
                <w:rFonts w:hint="eastAsia" w:ascii="方正仿宋_GBK" w:hAnsi="方正仿宋_GBK" w:eastAsia="方正仿宋_GBK" w:cs="方正仿宋_GBK"/>
                <w:color w:val="000000" w:themeColor="text1"/>
                <w:sz w:val="20"/>
                <w14:textFill>
                  <w14:solidFill>
                    <w14:schemeClr w14:val="tx1"/>
                  </w14:solidFill>
                </w14:textFill>
              </w:rPr>
              <w:t>“三安全一稳定”</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4.保护第三方合法权益</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5.属于三类内部事务信息</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6.属于四类过程性信息</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7.属于行政执法案卷</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8.属于行政查询事项</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restart"/>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（四）无法提供</w:t>
            </w: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pacing w:val="-4"/>
                <w:sz w:val="20"/>
                <w14:textFill>
                  <w14:solidFill>
                    <w14:schemeClr w14:val="tx1"/>
                  </w14:solidFill>
                </w14:textFill>
              </w:rPr>
            </w:pPr>
            <w:r>
              <w:rPr>
                <w:rFonts w:hint="default" w:ascii="Times New Roman" w:hAnsi="Times New Roman" w:eastAsia="方正仿宋_GBK" w:cs="Times New Roman"/>
                <w:color w:val="000000" w:themeColor="text1"/>
                <w:spacing w:val="-4"/>
                <w:sz w:val="20"/>
                <w14:textFill>
                  <w14:solidFill>
                    <w14:schemeClr w14:val="tx1"/>
                  </w14:solidFill>
                </w14:textFill>
              </w:rPr>
              <w:t>1.本机关不掌握相关政府信息</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pacing w:val="-4"/>
                <w:sz w:val="20"/>
                <w14:textFill>
                  <w14:solidFill>
                    <w14:schemeClr w14:val="tx1"/>
                  </w14:solidFill>
                </w14:textFill>
              </w:rPr>
            </w:pPr>
            <w:r>
              <w:rPr>
                <w:rFonts w:hint="default" w:ascii="Times New Roman" w:hAnsi="Times New Roman" w:eastAsia="方正仿宋_GBK" w:cs="Times New Roman"/>
                <w:color w:val="000000" w:themeColor="text1"/>
                <w:spacing w:val="-4"/>
                <w:sz w:val="20"/>
                <w14:textFill>
                  <w14:solidFill>
                    <w14:schemeClr w14:val="tx1"/>
                  </w14:solidFill>
                </w14:textFill>
              </w:rPr>
              <w:t>2.没有现成信息需要另行制作</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3.补正后申请内容仍不明确</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restart"/>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（五）不予处理</w:t>
            </w: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1.信访举报投诉类申请</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2.重复申请</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3.要求提供公开出版物</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4.无正当理由大量反复申请</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1"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017" w:type="dxa"/>
            <w:gridSpan w:val="2"/>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5.要求行政机关确认或重新出具已获取信息</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868" w:type="dxa"/>
            <w:gridSpan w:val="2"/>
            <w:vMerge w:val="restart"/>
            <w:tcMar>
              <w:left w:w="17" w:type="dxa"/>
              <w:right w:w="17" w:type="dxa"/>
            </w:tcMar>
            <w:vAlign w:val="center"/>
          </w:tcPr>
          <w:p>
            <w:pPr>
              <w:widowControl/>
              <w:spacing w:line="200" w:lineRule="exact"/>
              <w:jc w:val="lef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lang w:bidi="ar"/>
                <w14:textFill>
                  <w14:solidFill>
                    <w14:schemeClr w14:val="tx1"/>
                  </w14:solidFill>
                </w14:textFill>
              </w:rPr>
              <w:t>（六）其他处理</w:t>
            </w:r>
          </w:p>
        </w:tc>
        <w:tc>
          <w:tcPr>
            <w:tcW w:w="3010" w:type="dxa"/>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lang w:bidi="ar"/>
                <w14:textFill>
                  <w14:solidFill>
                    <w14:schemeClr w14:val="tx1"/>
                  </w14:solidFill>
                </w14:textFill>
              </w:rPr>
              <w:t>1.申请人无正当理由逾期不补正、行政机关不再处理其政府信息公开申请</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8" w:hRule="atLeast"/>
        </w:trPr>
        <w:tc>
          <w:tcPr>
            <w:tcW w:w="507" w:type="dxa"/>
            <w:vMerge w:val="continue"/>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p>
        </w:tc>
        <w:tc>
          <w:tcPr>
            <w:tcW w:w="868" w:type="dxa"/>
            <w:gridSpan w:val="2"/>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010" w:type="dxa"/>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lang w:bidi="ar"/>
                <w14:textFill>
                  <w14:solidFill>
                    <w14:schemeClr w14:val="tx1"/>
                  </w14:solidFill>
                </w14:textFill>
              </w:rPr>
              <w:t>2.申请人逾期未按收费通知要求缴纳费用、行政机关不再处理其政府信息公开申请</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trPr>
        <w:tc>
          <w:tcPr>
            <w:tcW w:w="507" w:type="dxa"/>
            <w:vMerge w:val="continue"/>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p>
        </w:tc>
        <w:tc>
          <w:tcPr>
            <w:tcW w:w="868" w:type="dxa"/>
            <w:gridSpan w:val="2"/>
            <w:vMerge w:val="continue"/>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p>
        </w:tc>
        <w:tc>
          <w:tcPr>
            <w:tcW w:w="3010" w:type="dxa"/>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lang w:bidi="ar"/>
                <w14:textFill>
                  <w14:solidFill>
                    <w14:schemeClr w14:val="tx1"/>
                  </w14:solidFill>
                </w14:textFill>
              </w:rPr>
            </w:pPr>
            <w:r>
              <w:rPr>
                <w:rFonts w:hint="default" w:ascii="Times New Roman" w:hAnsi="Times New Roman" w:eastAsia="方正仿宋_GBK" w:cs="Times New Roman"/>
                <w:color w:val="000000" w:themeColor="text1"/>
                <w:sz w:val="20"/>
                <w:lang w:bidi="ar"/>
                <w14:textFill>
                  <w14:solidFill>
                    <w14:schemeClr w14:val="tx1"/>
                  </w14:solidFill>
                </w14:textFill>
              </w:rPr>
              <w:t>3.其他</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lang w:bidi="ar"/>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lang w:bidi="ar"/>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lang w:bidi="ar"/>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lang w:bidi="ar"/>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lang w:bidi="ar"/>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lang w:bidi="ar"/>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lang w:bidi="ar"/>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trPr>
        <w:tc>
          <w:tcPr>
            <w:tcW w:w="507" w:type="dxa"/>
            <w:vMerge w:val="continue"/>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p>
        </w:tc>
        <w:tc>
          <w:tcPr>
            <w:tcW w:w="3878" w:type="dxa"/>
            <w:gridSpan w:val="3"/>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（七）总计</w:t>
            </w:r>
          </w:p>
        </w:tc>
        <w:tc>
          <w:tcPr>
            <w:tcW w:w="625" w:type="dxa"/>
            <w:tcMar>
              <w:left w:w="17" w:type="dxa"/>
              <w:right w:w="17" w:type="dxa"/>
            </w:tcMar>
            <w:vAlign w:val="center"/>
          </w:tcPr>
          <w:p>
            <w:pPr>
              <w:spacing w:line="200" w:lineRule="exact"/>
              <w:jc w:val="center"/>
              <w:rPr>
                <w:rFonts w:hint="eastAsia" w:ascii="Times New Roman" w:hAnsi="Times New Roman" w:eastAsia="方正仿宋_GBK" w:cs="Times New Roman"/>
                <w:color w:val="000000" w:themeColor="text1"/>
                <w:sz w:val="20"/>
                <w:lang w:val="en-US" w:eastAsia="zh-CN"/>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1</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eastAsia" w:ascii="Times New Roman" w:hAnsi="Times New Roman" w:eastAsia="方正仿宋_GBK" w:cs="Times New Roman"/>
                <w:color w:val="000000" w:themeColor="text1"/>
                <w:sz w:val="20"/>
                <w:lang w:val="en-US" w:eastAsia="zh-CN"/>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7" w:hRule="atLeast"/>
        </w:trPr>
        <w:tc>
          <w:tcPr>
            <w:tcW w:w="4385" w:type="dxa"/>
            <w:gridSpan w:val="4"/>
            <w:tcMar>
              <w:left w:w="17" w:type="dxa"/>
              <w:right w:w="17" w:type="dxa"/>
            </w:tcMar>
            <w:vAlign w:val="center"/>
          </w:tcPr>
          <w:p>
            <w:pPr>
              <w:spacing w:line="200" w:lineRule="exact"/>
              <w:rPr>
                <w:rFonts w:hint="default" w:ascii="Times New Roman" w:hAnsi="Times New Roman" w:eastAsia="方正仿宋_GBK" w:cs="Times New Roman"/>
                <w:color w:val="000000" w:themeColor="text1"/>
                <w:sz w:val="20"/>
                <w14:textFill>
                  <w14:solidFill>
                    <w14:schemeClr w14:val="tx1"/>
                  </w14:solidFill>
                </w14:textFill>
              </w:rPr>
            </w:pPr>
            <w:r>
              <w:rPr>
                <w:rFonts w:hint="default" w:ascii="Times New Roman" w:hAnsi="Times New Roman" w:eastAsia="方正仿宋_GBK" w:cs="Times New Roman"/>
                <w:color w:val="000000" w:themeColor="text1"/>
                <w:sz w:val="20"/>
                <w14:textFill>
                  <w14:solidFill>
                    <w14:schemeClr w14:val="tx1"/>
                  </w14:solidFill>
                </w14:textFill>
              </w:rPr>
              <w:t>四、结转下年度继续办理</w:t>
            </w:r>
          </w:p>
        </w:tc>
        <w:tc>
          <w:tcPr>
            <w:tcW w:w="62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02"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88"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5"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756"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56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c>
          <w:tcPr>
            <w:tcW w:w="630" w:type="dxa"/>
            <w:tcMar>
              <w:left w:w="17" w:type="dxa"/>
              <w:right w:w="17" w:type="dxa"/>
            </w:tcMar>
            <w:vAlign w:val="center"/>
          </w:tcPr>
          <w:p>
            <w:pPr>
              <w:spacing w:line="200" w:lineRule="exact"/>
              <w:jc w:val="center"/>
              <w:rPr>
                <w:rFonts w:hint="default" w:ascii="Times New Roman" w:hAnsi="Times New Roman" w:eastAsia="方正仿宋_GBK" w:cs="Times New Roman"/>
                <w:color w:val="000000" w:themeColor="text1"/>
                <w:sz w:val="20"/>
                <w14:textFill>
                  <w14:solidFill>
                    <w14:schemeClr w14:val="tx1"/>
                  </w14:solidFill>
                </w14:textFill>
              </w:rPr>
            </w:pPr>
            <w:r>
              <w:rPr>
                <w:rFonts w:hint="eastAsia" w:ascii="Times New Roman" w:hAnsi="Times New Roman" w:eastAsia="方正仿宋_GBK" w:cs="Times New Roman"/>
                <w:color w:val="000000" w:themeColor="text1"/>
                <w:sz w:val="20"/>
                <w:lang w:val="en-US" w:eastAsia="zh-CN"/>
                <w14:textFill>
                  <w14:solidFill>
                    <w14:schemeClr w14:val="tx1"/>
                  </w14:solidFill>
                </w14:textFill>
              </w:rPr>
              <w:t>0</w:t>
            </w:r>
          </w:p>
        </w:tc>
      </w:tr>
    </w:tbl>
    <w:p>
      <w:pPr>
        <w:keepNext w:val="0"/>
        <w:keepLines w:val="0"/>
        <w:pageBreakBefore w:val="0"/>
        <w:widowControl w:val="0"/>
        <w:numPr>
          <w:ilvl w:val="0"/>
          <w:numId w:val="0"/>
        </w:numPr>
        <w:kinsoku w:val="0"/>
        <w:wordWrap/>
        <w:overflowPunct w:val="0"/>
        <w:topLinePunct w:val="0"/>
        <w:autoSpaceDE w:val="0"/>
        <w:autoSpaceDN w:val="0"/>
        <w:bidi w:val="0"/>
        <w:adjustRightInd/>
        <w:snapToGrid/>
        <w:spacing w:line="576" w:lineRule="exact"/>
        <w:ind w:leftChars="200"/>
        <w:jc w:val="left"/>
        <w:textAlignment w:val="auto"/>
        <w:rPr>
          <w:rFonts w:ascii="方正黑体_GBK" w:hAnsi="方正黑体_GBK" w:eastAsia="方正黑体_GBK" w:cs="方正黑体_GBK"/>
          <w:i w:val="0"/>
          <w:iCs w:val="0"/>
          <w:caps w:val="0"/>
          <w:color w:val="333333"/>
          <w:spacing w:val="0"/>
          <w:sz w:val="31"/>
          <w:szCs w:val="31"/>
          <w:shd w:val="clear" w:fill="FFFFFF"/>
        </w:rPr>
      </w:pPr>
      <w:r>
        <w:rPr>
          <w:rFonts w:hint="eastAsia" w:ascii="方正黑体_GBK" w:hAnsi="方正黑体_GBK" w:eastAsia="方正黑体_GBK" w:cs="方正黑体_GBK"/>
          <w:i w:val="0"/>
          <w:iCs w:val="0"/>
          <w:caps w:val="0"/>
          <w:color w:val="333333"/>
          <w:spacing w:val="0"/>
          <w:sz w:val="31"/>
          <w:szCs w:val="31"/>
          <w:shd w:val="clear" w:fill="FFFFFF"/>
          <w:lang w:val="en-US" w:eastAsia="zh-CN"/>
        </w:rPr>
        <w:t>四、</w:t>
      </w:r>
      <w:r>
        <w:rPr>
          <w:rFonts w:ascii="方正黑体_GBK" w:hAnsi="方正黑体_GBK" w:eastAsia="方正黑体_GBK" w:cs="方正黑体_GBK"/>
          <w:i w:val="0"/>
          <w:iCs w:val="0"/>
          <w:caps w:val="0"/>
          <w:color w:val="333333"/>
          <w:spacing w:val="0"/>
          <w:sz w:val="31"/>
          <w:szCs w:val="31"/>
          <w:shd w:val="clear" w:fill="FFFFFF"/>
        </w:rPr>
        <w:t>政府信息公开行政复议、行政诉讼情况</w:t>
      </w:r>
    </w:p>
    <w:tbl>
      <w:tblPr>
        <w:tblStyle w:val="4"/>
        <w:tblW w:w="9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3"/>
        <w:gridCol w:w="643"/>
        <w:gridCol w:w="643"/>
        <w:gridCol w:w="643"/>
        <w:gridCol w:w="650"/>
        <w:gridCol w:w="643"/>
        <w:gridCol w:w="643"/>
        <w:gridCol w:w="644"/>
        <w:gridCol w:w="644"/>
        <w:gridCol w:w="651"/>
        <w:gridCol w:w="645"/>
        <w:gridCol w:w="645"/>
        <w:gridCol w:w="645"/>
        <w:gridCol w:w="645"/>
        <w:gridCol w:w="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2" w:hRule="atLeast"/>
          <w:jc w:val="center"/>
        </w:trPr>
        <w:tc>
          <w:tcPr>
            <w:tcW w:w="3222" w:type="dxa"/>
            <w:gridSpan w:val="5"/>
            <w:shd w:val="clear" w:color="auto" w:fill="auto"/>
            <w:tcMar>
              <w:left w:w="108" w:type="dxa"/>
              <w:right w:w="108" w:type="dxa"/>
            </w:tcMar>
            <w:vAlign w:val="center"/>
          </w:tcPr>
          <w:p>
            <w:pPr>
              <w:widowControl/>
              <w:jc w:val="center"/>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行政复议</w:t>
            </w:r>
          </w:p>
        </w:tc>
        <w:tc>
          <w:tcPr>
            <w:tcW w:w="6457" w:type="dxa"/>
            <w:gridSpan w:val="10"/>
            <w:shd w:val="clear" w:color="auto" w:fill="auto"/>
            <w:tcMar>
              <w:left w:w="108" w:type="dxa"/>
              <w:right w:w="108" w:type="dxa"/>
            </w:tcMar>
            <w:vAlign w:val="center"/>
          </w:tcPr>
          <w:p>
            <w:pPr>
              <w:widowControl/>
              <w:jc w:val="center"/>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2" w:hRule="atLeast"/>
          <w:jc w:val="center"/>
        </w:trPr>
        <w:tc>
          <w:tcPr>
            <w:tcW w:w="643" w:type="dxa"/>
            <w:vMerge w:val="restart"/>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结果维持</w:t>
            </w:r>
          </w:p>
        </w:tc>
        <w:tc>
          <w:tcPr>
            <w:tcW w:w="643" w:type="dxa"/>
            <w:vMerge w:val="restart"/>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结果</w:t>
            </w:r>
            <w:r>
              <w:rPr>
                <w:rFonts w:hint="eastAsia" w:ascii="方正仿宋_GBK" w:hAnsi="方正仿宋_GBK" w:eastAsia="方正仿宋_GBK" w:cs="方正仿宋_GBK"/>
                <w:color w:val="000000" w:themeColor="text1"/>
                <w:kern w:val="0"/>
                <w:sz w:val="20"/>
                <w:lang w:bidi="ar"/>
                <w14:textFill>
                  <w14:solidFill>
                    <w14:schemeClr w14:val="tx1"/>
                  </w14:solidFill>
                </w14:textFill>
              </w:rPr>
              <w:br w:type="textWrapping"/>
            </w:r>
            <w:r>
              <w:rPr>
                <w:rFonts w:hint="eastAsia" w:ascii="方正仿宋_GBK" w:hAnsi="方正仿宋_GBK" w:eastAsia="方正仿宋_GBK" w:cs="方正仿宋_GBK"/>
                <w:color w:val="000000" w:themeColor="text1"/>
                <w:kern w:val="0"/>
                <w:sz w:val="20"/>
                <w:lang w:bidi="ar"/>
                <w14:textFill>
                  <w14:solidFill>
                    <w14:schemeClr w14:val="tx1"/>
                  </w14:solidFill>
                </w14:textFill>
              </w:rPr>
              <w:t>纠正</w:t>
            </w:r>
          </w:p>
        </w:tc>
        <w:tc>
          <w:tcPr>
            <w:tcW w:w="643" w:type="dxa"/>
            <w:vMerge w:val="restart"/>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其他</w:t>
            </w:r>
            <w:r>
              <w:rPr>
                <w:rFonts w:hint="eastAsia" w:ascii="方正仿宋_GBK" w:hAnsi="方正仿宋_GBK" w:eastAsia="方正仿宋_GBK" w:cs="方正仿宋_GBK"/>
                <w:color w:val="000000" w:themeColor="text1"/>
                <w:kern w:val="0"/>
                <w:sz w:val="20"/>
                <w:lang w:bidi="ar"/>
                <w14:textFill>
                  <w14:solidFill>
                    <w14:schemeClr w14:val="tx1"/>
                  </w14:solidFill>
                </w14:textFill>
              </w:rPr>
              <w:br w:type="textWrapping"/>
            </w:r>
            <w:r>
              <w:rPr>
                <w:rFonts w:hint="eastAsia" w:ascii="方正仿宋_GBK" w:hAnsi="方正仿宋_GBK" w:eastAsia="方正仿宋_GBK" w:cs="方正仿宋_GBK"/>
                <w:color w:val="000000" w:themeColor="text1"/>
                <w:kern w:val="0"/>
                <w:sz w:val="20"/>
                <w:lang w:bidi="ar"/>
                <w14:textFill>
                  <w14:solidFill>
                    <w14:schemeClr w14:val="tx1"/>
                  </w14:solidFill>
                </w14:textFill>
              </w:rPr>
              <w:t>结果</w:t>
            </w:r>
          </w:p>
        </w:tc>
        <w:tc>
          <w:tcPr>
            <w:tcW w:w="643" w:type="dxa"/>
            <w:vMerge w:val="restart"/>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尚未</w:t>
            </w:r>
            <w:r>
              <w:rPr>
                <w:rFonts w:hint="eastAsia" w:ascii="方正仿宋_GBK" w:hAnsi="方正仿宋_GBK" w:eastAsia="方正仿宋_GBK" w:cs="方正仿宋_GBK"/>
                <w:color w:val="000000" w:themeColor="text1"/>
                <w:kern w:val="0"/>
                <w:sz w:val="20"/>
                <w:lang w:bidi="ar"/>
                <w14:textFill>
                  <w14:solidFill>
                    <w14:schemeClr w14:val="tx1"/>
                  </w14:solidFill>
                </w14:textFill>
              </w:rPr>
              <w:br w:type="textWrapping"/>
            </w:r>
            <w:r>
              <w:rPr>
                <w:rFonts w:hint="eastAsia" w:ascii="方正仿宋_GBK" w:hAnsi="方正仿宋_GBK" w:eastAsia="方正仿宋_GBK" w:cs="方正仿宋_GBK"/>
                <w:color w:val="000000" w:themeColor="text1"/>
                <w:kern w:val="0"/>
                <w:sz w:val="20"/>
                <w:lang w:bidi="ar"/>
                <w14:textFill>
                  <w14:solidFill>
                    <w14:schemeClr w14:val="tx1"/>
                  </w14:solidFill>
                </w14:textFill>
              </w:rPr>
              <w:t>审结</w:t>
            </w:r>
          </w:p>
        </w:tc>
        <w:tc>
          <w:tcPr>
            <w:tcW w:w="650" w:type="dxa"/>
            <w:vMerge w:val="restart"/>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总计</w:t>
            </w:r>
          </w:p>
        </w:tc>
        <w:tc>
          <w:tcPr>
            <w:tcW w:w="3225" w:type="dxa"/>
            <w:gridSpan w:val="5"/>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未经复议直接起诉</w:t>
            </w:r>
          </w:p>
        </w:tc>
        <w:tc>
          <w:tcPr>
            <w:tcW w:w="3232" w:type="dxa"/>
            <w:gridSpan w:val="5"/>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79" w:hRule="atLeast"/>
          <w:jc w:val="center"/>
        </w:trPr>
        <w:tc>
          <w:tcPr>
            <w:tcW w:w="643" w:type="dxa"/>
            <w:vMerge w:val="continue"/>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643" w:type="dxa"/>
            <w:vMerge w:val="continue"/>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643" w:type="dxa"/>
            <w:vMerge w:val="continue"/>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643" w:type="dxa"/>
            <w:vMerge w:val="continue"/>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650" w:type="dxa"/>
            <w:vMerge w:val="continue"/>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643"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结果</w:t>
            </w:r>
            <w:r>
              <w:rPr>
                <w:rFonts w:hint="eastAsia" w:ascii="方正仿宋_GBK" w:hAnsi="方正仿宋_GBK" w:eastAsia="方正仿宋_GBK" w:cs="方正仿宋_GBK"/>
                <w:color w:val="000000" w:themeColor="text1"/>
                <w:kern w:val="0"/>
                <w:sz w:val="20"/>
                <w:lang w:bidi="ar"/>
                <w14:textFill>
                  <w14:solidFill>
                    <w14:schemeClr w14:val="tx1"/>
                  </w14:solidFill>
                </w14:textFill>
              </w:rPr>
              <w:br w:type="textWrapping"/>
            </w:r>
            <w:r>
              <w:rPr>
                <w:rFonts w:hint="eastAsia" w:ascii="方正仿宋_GBK" w:hAnsi="方正仿宋_GBK" w:eastAsia="方正仿宋_GBK" w:cs="方正仿宋_GBK"/>
                <w:color w:val="000000" w:themeColor="text1"/>
                <w:kern w:val="0"/>
                <w:sz w:val="20"/>
                <w:lang w:bidi="ar"/>
                <w14:textFill>
                  <w14:solidFill>
                    <w14:schemeClr w14:val="tx1"/>
                  </w14:solidFill>
                </w14:textFill>
              </w:rPr>
              <w:t>维持</w:t>
            </w:r>
          </w:p>
        </w:tc>
        <w:tc>
          <w:tcPr>
            <w:tcW w:w="643"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结果</w:t>
            </w:r>
            <w:r>
              <w:rPr>
                <w:rFonts w:hint="eastAsia" w:ascii="方正仿宋_GBK" w:hAnsi="方正仿宋_GBK" w:eastAsia="方正仿宋_GBK" w:cs="方正仿宋_GBK"/>
                <w:color w:val="000000" w:themeColor="text1"/>
                <w:kern w:val="0"/>
                <w:sz w:val="20"/>
                <w:lang w:bidi="ar"/>
                <w14:textFill>
                  <w14:solidFill>
                    <w14:schemeClr w14:val="tx1"/>
                  </w14:solidFill>
                </w14:textFill>
              </w:rPr>
              <w:br w:type="textWrapping"/>
            </w:r>
            <w:r>
              <w:rPr>
                <w:rFonts w:hint="eastAsia" w:ascii="方正仿宋_GBK" w:hAnsi="方正仿宋_GBK" w:eastAsia="方正仿宋_GBK" w:cs="方正仿宋_GBK"/>
                <w:color w:val="000000" w:themeColor="text1"/>
                <w:kern w:val="0"/>
                <w:sz w:val="20"/>
                <w:lang w:bidi="ar"/>
                <w14:textFill>
                  <w14:solidFill>
                    <w14:schemeClr w14:val="tx1"/>
                  </w14:solidFill>
                </w14:textFill>
              </w:rPr>
              <w:t>纠正</w:t>
            </w:r>
          </w:p>
        </w:tc>
        <w:tc>
          <w:tcPr>
            <w:tcW w:w="64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其他</w:t>
            </w:r>
            <w:r>
              <w:rPr>
                <w:rFonts w:hint="eastAsia" w:ascii="方正仿宋_GBK" w:hAnsi="方正仿宋_GBK" w:eastAsia="方正仿宋_GBK" w:cs="方正仿宋_GBK"/>
                <w:color w:val="000000" w:themeColor="text1"/>
                <w:kern w:val="0"/>
                <w:sz w:val="20"/>
                <w:lang w:bidi="ar"/>
                <w14:textFill>
                  <w14:solidFill>
                    <w14:schemeClr w14:val="tx1"/>
                  </w14:solidFill>
                </w14:textFill>
              </w:rPr>
              <w:br w:type="textWrapping"/>
            </w:r>
            <w:r>
              <w:rPr>
                <w:rFonts w:hint="eastAsia" w:ascii="方正仿宋_GBK" w:hAnsi="方正仿宋_GBK" w:eastAsia="方正仿宋_GBK" w:cs="方正仿宋_GBK"/>
                <w:color w:val="000000" w:themeColor="text1"/>
                <w:kern w:val="0"/>
                <w:sz w:val="20"/>
                <w:lang w:bidi="ar"/>
                <w14:textFill>
                  <w14:solidFill>
                    <w14:schemeClr w14:val="tx1"/>
                  </w14:solidFill>
                </w14:textFill>
              </w:rPr>
              <w:t>结果</w:t>
            </w:r>
          </w:p>
        </w:tc>
        <w:tc>
          <w:tcPr>
            <w:tcW w:w="644"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尚未</w:t>
            </w:r>
            <w:r>
              <w:rPr>
                <w:rFonts w:hint="eastAsia" w:ascii="方正仿宋_GBK" w:hAnsi="方正仿宋_GBK" w:eastAsia="方正仿宋_GBK" w:cs="方正仿宋_GBK"/>
                <w:color w:val="000000" w:themeColor="text1"/>
                <w:kern w:val="0"/>
                <w:sz w:val="20"/>
                <w:lang w:bidi="ar"/>
                <w14:textFill>
                  <w14:solidFill>
                    <w14:schemeClr w14:val="tx1"/>
                  </w14:solidFill>
                </w14:textFill>
              </w:rPr>
              <w:br w:type="textWrapping"/>
            </w:r>
            <w:r>
              <w:rPr>
                <w:rFonts w:hint="eastAsia" w:ascii="方正仿宋_GBK" w:hAnsi="方正仿宋_GBK" w:eastAsia="方正仿宋_GBK" w:cs="方正仿宋_GBK"/>
                <w:color w:val="000000" w:themeColor="text1"/>
                <w:kern w:val="0"/>
                <w:sz w:val="20"/>
                <w:lang w:bidi="ar"/>
                <w14:textFill>
                  <w14:solidFill>
                    <w14:schemeClr w14:val="tx1"/>
                  </w14:solidFill>
                </w14:textFill>
              </w:rPr>
              <w:t>审结</w:t>
            </w:r>
          </w:p>
        </w:tc>
        <w:tc>
          <w:tcPr>
            <w:tcW w:w="651"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总计</w:t>
            </w:r>
          </w:p>
        </w:tc>
        <w:tc>
          <w:tcPr>
            <w:tcW w:w="64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结果</w:t>
            </w:r>
            <w:r>
              <w:rPr>
                <w:rFonts w:hint="eastAsia" w:ascii="方正仿宋_GBK" w:hAnsi="方正仿宋_GBK" w:eastAsia="方正仿宋_GBK" w:cs="方正仿宋_GBK"/>
                <w:color w:val="000000" w:themeColor="text1"/>
                <w:kern w:val="0"/>
                <w:sz w:val="20"/>
                <w:lang w:bidi="ar"/>
                <w14:textFill>
                  <w14:solidFill>
                    <w14:schemeClr w14:val="tx1"/>
                  </w14:solidFill>
                </w14:textFill>
              </w:rPr>
              <w:br w:type="textWrapping"/>
            </w:r>
            <w:r>
              <w:rPr>
                <w:rFonts w:hint="eastAsia" w:ascii="方正仿宋_GBK" w:hAnsi="方正仿宋_GBK" w:eastAsia="方正仿宋_GBK" w:cs="方正仿宋_GBK"/>
                <w:color w:val="000000" w:themeColor="text1"/>
                <w:kern w:val="0"/>
                <w:sz w:val="20"/>
                <w:lang w:bidi="ar"/>
                <w14:textFill>
                  <w14:solidFill>
                    <w14:schemeClr w14:val="tx1"/>
                  </w14:solidFill>
                </w14:textFill>
              </w:rPr>
              <w:t>维持</w:t>
            </w:r>
          </w:p>
        </w:tc>
        <w:tc>
          <w:tcPr>
            <w:tcW w:w="64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结果</w:t>
            </w:r>
            <w:r>
              <w:rPr>
                <w:rFonts w:hint="eastAsia" w:ascii="方正仿宋_GBK" w:hAnsi="方正仿宋_GBK" w:eastAsia="方正仿宋_GBK" w:cs="方正仿宋_GBK"/>
                <w:color w:val="000000" w:themeColor="text1"/>
                <w:kern w:val="0"/>
                <w:sz w:val="20"/>
                <w:lang w:bidi="ar"/>
                <w14:textFill>
                  <w14:solidFill>
                    <w14:schemeClr w14:val="tx1"/>
                  </w14:solidFill>
                </w14:textFill>
              </w:rPr>
              <w:br w:type="textWrapping"/>
            </w:r>
            <w:r>
              <w:rPr>
                <w:rFonts w:hint="eastAsia" w:ascii="方正仿宋_GBK" w:hAnsi="方正仿宋_GBK" w:eastAsia="方正仿宋_GBK" w:cs="方正仿宋_GBK"/>
                <w:color w:val="000000" w:themeColor="text1"/>
                <w:kern w:val="0"/>
                <w:sz w:val="20"/>
                <w:lang w:bidi="ar"/>
                <w14:textFill>
                  <w14:solidFill>
                    <w14:schemeClr w14:val="tx1"/>
                  </w14:solidFill>
                </w14:textFill>
              </w:rPr>
              <w:t>纠正</w:t>
            </w:r>
          </w:p>
        </w:tc>
        <w:tc>
          <w:tcPr>
            <w:tcW w:w="64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其他</w:t>
            </w:r>
            <w:r>
              <w:rPr>
                <w:rFonts w:hint="eastAsia" w:ascii="方正仿宋_GBK" w:hAnsi="方正仿宋_GBK" w:eastAsia="方正仿宋_GBK" w:cs="方正仿宋_GBK"/>
                <w:color w:val="000000" w:themeColor="text1"/>
                <w:kern w:val="0"/>
                <w:sz w:val="20"/>
                <w:lang w:bidi="ar"/>
                <w14:textFill>
                  <w14:solidFill>
                    <w14:schemeClr w14:val="tx1"/>
                  </w14:solidFill>
                </w14:textFill>
              </w:rPr>
              <w:br w:type="textWrapping"/>
            </w:r>
            <w:r>
              <w:rPr>
                <w:rFonts w:hint="eastAsia" w:ascii="方正仿宋_GBK" w:hAnsi="方正仿宋_GBK" w:eastAsia="方正仿宋_GBK" w:cs="方正仿宋_GBK"/>
                <w:color w:val="000000" w:themeColor="text1"/>
                <w:kern w:val="0"/>
                <w:sz w:val="20"/>
                <w:lang w:bidi="ar"/>
                <w14:textFill>
                  <w14:solidFill>
                    <w14:schemeClr w14:val="tx1"/>
                  </w14:solidFill>
                </w14:textFill>
              </w:rPr>
              <w:t>结果</w:t>
            </w:r>
          </w:p>
        </w:tc>
        <w:tc>
          <w:tcPr>
            <w:tcW w:w="64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尚未</w:t>
            </w:r>
            <w:r>
              <w:rPr>
                <w:rFonts w:hint="eastAsia" w:ascii="方正仿宋_GBK" w:hAnsi="方正仿宋_GBK" w:eastAsia="方正仿宋_GBK" w:cs="方正仿宋_GBK"/>
                <w:color w:val="000000" w:themeColor="text1"/>
                <w:kern w:val="0"/>
                <w:sz w:val="20"/>
                <w:lang w:bidi="ar"/>
                <w14:textFill>
                  <w14:solidFill>
                    <w14:schemeClr w14:val="tx1"/>
                  </w14:solidFill>
                </w14:textFill>
              </w:rPr>
              <w:br w:type="textWrapping"/>
            </w:r>
            <w:r>
              <w:rPr>
                <w:rFonts w:hint="eastAsia" w:ascii="方正仿宋_GBK" w:hAnsi="方正仿宋_GBK" w:eastAsia="方正仿宋_GBK" w:cs="方正仿宋_GBK"/>
                <w:color w:val="000000" w:themeColor="text1"/>
                <w:kern w:val="0"/>
                <w:sz w:val="20"/>
                <w:lang w:bidi="ar"/>
                <w14:textFill>
                  <w14:solidFill>
                    <w14:schemeClr w14:val="tx1"/>
                  </w14:solidFill>
                </w14:textFill>
              </w:rPr>
              <w:t>审结</w:t>
            </w:r>
          </w:p>
        </w:tc>
        <w:tc>
          <w:tcPr>
            <w:tcW w:w="652"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themeColor="text1"/>
                <w14:textFill>
                  <w14:solidFill>
                    <w14:schemeClr w14:val="tx1"/>
                  </w14:solidFill>
                </w14:textFill>
              </w:rPr>
            </w:pPr>
            <w:r>
              <w:rPr>
                <w:rFonts w:hint="eastAsia" w:ascii="方正仿宋_GBK" w:hAnsi="方正仿宋_GBK" w:eastAsia="方正仿宋_GBK" w:cs="方正仿宋_GBK"/>
                <w:color w:val="000000" w:themeColor="text1"/>
                <w:kern w:val="0"/>
                <w:sz w:val="20"/>
                <w:lang w:bidi="ar"/>
                <w14:textFill>
                  <w14:solidFill>
                    <w14:schemeClr w14:val="tx1"/>
                  </w14:solidFill>
                </w14:textFill>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77" w:hRule="atLeast"/>
          <w:jc w:val="center"/>
        </w:trPr>
        <w:tc>
          <w:tcPr>
            <w:tcW w:w="643" w:type="dxa"/>
            <w:shd w:val="clear" w:color="auto" w:fill="auto"/>
            <w:tcMar>
              <w:left w:w="108" w:type="dxa"/>
              <w:right w:w="108" w:type="dxa"/>
            </w:tcMar>
            <w:vAlign w:val="center"/>
          </w:tcPr>
          <w:p>
            <w:pPr>
              <w:widowControl/>
              <w:jc w:val="center"/>
              <w:rPr>
                <w:rFonts w:hint="eastAsia" w:eastAsia="方正仿宋_GBK"/>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643" w:type="dxa"/>
            <w:shd w:val="clear" w:color="auto" w:fill="auto"/>
            <w:tcMar>
              <w:left w:w="108" w:type="dxa"/>
              <w:right w:w="108" w:type="dxa"/>
            </w:tcMar>
            <w:vAlign w:val="center"/>
          </w:tcPr>
          <w:p>
            <w:pPr>
              <w:widowControl/>
              <w:jc w:val="center"/>
              <w:rPr>
                <w:rFonts w:hint="eastAsia"/>
                <w:color w:val="000000" w:themeColor="text1"/>
                <w:szCs w:val="22"/>
                <w:lang w:val="en-US" w:eastAsia="zh-CN"/>
                <w14:textFill>
                  <w14:solidFill>
                    <w14:schemeClr w14:val="tx1"/>
                  </w14:solidFill>
                </w14:textFill>
              </w:rPr>
            </w:pPr>
            <w:r>
              <w:rPr>
                <w:rFonts w:hint="eastAsia"/>
                <w:color w:val="000000" w:themeColor="text1"/>
                <w:szCs w:val="22"/>
                <w:lang w:val="en-US" w:eastAsia="zh-CN"/>
                <w14:textFill>
                  <w14:solidFill>
                    <w14:schemeClr w14:val="tx1"/>
                  </w14:solidFill>
                </w14:textFill>
              </w:rPr>
              <w:t>0</w:t>
            </w:r>
          </w:p>
        </w:tc>
        <w:tc>
          <w:tcPr>
            <w:tcW w:w="643" w:type="dxa"/>
            <w:shd w:val="clear" w:color="auto" w:fill="auto"/>
            <w:tcMar>
              <w:left w:w="108" w:type="dxa"/>
              <w:right w:w="108" w:type="dxa"/>
            </w:tcMar>
            <w:vAlign w:val="center"/>
          </w:tcPr>
          <w:p>
            <w:pPr>
              <w:widowControl/>
              <w:jc w:val="center"/>
              <w:rPr>
                <w:rFonts w:hint="eastAsia"/>
                <w:color w:val="000000" w:themeColor="text1"/>
                <w:szCs w:val="22"/>
                <w:lang w:val="en-US" w:eastAsia="zh-CN"/>
                <w14:textFill>
                  <w14:solidFill>
                    <w14:schemeClr w14:val="tx1"/>
                  </w14:solidFill>
                </w14:textFill>
              </w:rPr>
            </w:pPr>
            <w:r>
              <w:rPr>
                <w:rFonts w:hint="eastAsia"/>
                <w:color w:val="000000" w:themeColor="text1"/>
                <w:szCs w:val="22"/>
                <w:lang w:val="en-US" w:eastAsia="zh-CN"/>
                <w14:textFill>
                  <w14:solidFill>
                    <w14:schemeClr w14:val="tx1"/>
                  </w14:solidFill>
                </w14:textFill>
              </w:rPr>
              <w:t>0</w:t>
            </w:r>
          </w:p>
        </w:tc>
        <w:tc>
          <w:tcPr>
            <w:tcW w:w="643" w:type="dxa"/>
            <w:shd w:val="clear" w:color="auto" w:fill="auto"/>
            <w:tcMar>
              <w:left w:w="108" w:type="dxa"/>
              <w:right w:w="108" w:type="dxa"/>
            </w:tcMar>
            <w:vAlign w:val="center"/>
          </w:tcPr>
          <w:p>
            <w:pPr>
              <w:widowControl/>
              <w:jc w:val="center"/>
              <w:rPr>
                <w:rFonts w:hint="eastAsia"/>
                <w:color w:val="000000" w:themeColor="text1"/>
                <w:szCs w:val="22"/>
                <w:lang w:val="en-US" w:eastAsia="zh-CN"/>
                <w14:textFill>
                  <w14:solidFill>
                    <w14:schemeClr w14:val="tx1"/>
                  </w14:solidFill>
                </w14:textFill>
              </w:rPr>
            </w:pPr>
            <w:r>
              <w:rPr>
                <w:rFonts w:hint="eastAsia"/>
                <w:color w:val="000000" w:themeColor="text1"/>
                <w:szCs w:val="22"/>
                <w:lang w:val="en-US" w:eastAsia="zh-CN"/>
                <w14:textFill>
                  <w14:solidFill>
                    <w14:schemeClr w14:val="tx1"/>
                  </w14:solidFill>
                </w14:textFill>
              </w:rPr>
              <w:t>2</w:t>
            </w:r>
          </w:p>
        </w:tc>
        <w:tc>
          <w:tcPr>
            <w:tcW w:w="650" w:type="dxa"/>
            <w:shd w:val="clear" w:color="auto" w:fill="auto"/>
            <w:tcMar>
              <w:left w:w="108" w:type="dxa"/>
              <w:right w:w="108" w:type="dxa"/>
            </w:tcMar>
            <w:vAlign w:val="center"/>
          </w:tcPr>
          <w:p>
            <w:pPr>
              <w:widowControl/>
              <w:jc w:val="center"/>
              <w:rPr>
                <w:rFonts w:hint="eastAsia"/>
                <w:color w:val="000000" w:themeColor="text1"/>
                <w:szCs w:val="22"/>
                <w:lang w:val="en-US" w:eastAsia="zh-CN"/>
                <w14:textFill>
                  <w14:solidFill>
                    <w14:schemeClr w14:val="tx1"/>
                  </w14:solidFill>
                </w14:textFill>
              </w:rPr>
            </w:pPr>
            <w:r>
              <w:rPr>
                <w:rFonts w:hint="eastAsia"/>
                <w:color w:val="000000" w:themeColor="text1"/>
                <w:szCs w:val="22"/>
                <w:lang w:val="en-US" w:eastAsia="zh-CN"/>
                <w14:textFill>
                  <w14:solidFill>
                    <w14:schemeClr w14:val="tx1"/>
                  </w14:solidFill>
                </w14:textFill>
              </w:rPr>
              <w:t>3</w:t>
            </w:r>
          </w:p>
        </w:tc>
        <w:tc>
          <w:tcPr>
            <w:tcW w:w="643" w:type="dxa"/>
            <w:shd w:val="clear" w:color="auto" w:fill="auto"/>
            <w:tcMar>
              <w:left w:w="108" w:type="dxa"/>
              <w:right w:w="108" w:type="dxa"/>
            </w:tcMar>
            <w:vAlign w:val="center"/>
          </w:tcPr>
          <w:p>
            <w:pPr>
              <w:widowControl/>
              <w:jc w:val="center"/>
              <w:rPr>
                <w:rFonts w:hint="eastAsia"/>
                <w:color w:val="000000" w:themeColor="text1"/>
                <w:szCs w:val="22"/>
                <w:lang w:val="en-US" w:eastAsia="zh-CN"/>
                <w14:textFill>
                  <w14:solidFill>
                    <w14:schemeClr w14:val="tx1"/>
                  </w14:solidFill>
                </w14:textFill>
              </w:rPr>
            </w:pPr>
            <w:r>
              <w:rPr>
                <w:rFonts w:hint="eastAsia"/>
                <w:color w:val="000000" w:themeColor="text1"/>
                <w:szCs w:val="22"/>
                <w:lang w:val="en-US" w:eastAsia="zh-CN"/>
                <w14:textFill>
                  <w14:solidFill>
                    <w14:schemeClr w14:val="tx1"/>
                  </w14:solidFill>
                </w14:textFill>
              </w:rPr>
              <w:t>0</w:t>
            </w:r>
          </w:p>
        </w:tc>
        <w:tc>
          <w:tcPr>
            <w:tcW w:w="643" w:type="dxa"/>
            <w:shd w:val="clear" w:color="auto" w:fill="auto"/>
            <w:tcMar>
              <w:left w:w="108" w:type="dxa"/>
              <w:right w:w="108" w:type="dxa"/>
            </w:tcMar>
            <w:vAlign w:val="center"/>
          </w:tcPr>
          <w:p>
            <w:pPr>
              <w:widowControl/>
              <w:jc w:val="center"/>
              <w:rPr>
                <w:rFonts w:hint="eastAsia"/>
                <w:color w:val="000000" w:themeColor="text1"/>
                <w:szCs w:val="22"/>
                <w:lang w:val="en-US" w:eastAsia="zh-CN"/>
                <w14:textFill>
                  <w14:solidFill>
                    <w14:schemeClr w14:val="tx1"/>
                  </w14:solidFill>
                </w14:textFill>
              </w:rPr>
            </w:pPr>
            <w:r>
              <w:rPr>
                <w:rFonts w:hint="eastAsia"/>
                <w:color w:val="000000" w:themeColor="text1"/>
                <w:szCs w:val="22"/>
                <w:lang w:val="en-US" w:eastAsia="zh-CN"/>
                <w14:textFill>
                  <w14:solidFill>
                    <w14:schemeClr w14:val="tx1"/>
                  </w14:solidFill>
                </w14:textFill>
              </w:rPr>
              <w:t>0</w:t>
            </w:r>
          </w:p>
        </w:tc>
        <w:tc>
          <w:tcPr>
            <w:tcW w:w="644" w:type="dxa"/>
            <w:shd w:val="clear" w:color="auto" w:fill="auto"/>
            <w:tcMar>
              <w:left w:w="108" w:type="dxa"/>
              <w:right w:w="108" w:type="dxa"/>
            </w:tcMar>
            <w:vAlign w:val="center"/>
          </w:tcPr>
          <w:p>
            <w:pPr>
              <w:widowControl/>
              <w:jc w:val="center"/>
              <w:rPr>
                <w:rFonts w:hint="eastAsia"/>
                <w:color w:val="000000" w:themeColor="text1"/>
                <w:szCs w:val="22"/>
                <w:lang w:val="en-US" w:eastAsia="zh-CN"/>
                <w14:textFill>
                  <w14:solidFill>
                    <w14:schemeClr w14:val="tx1"/>
                  </w14:solidFill>
                </w14:textFill>
              </w:rPr>
            </w:pPr>
            <w:r>
              <w:rPr>
                <w:rFonts w:hint="eastAsia"/>
                <w:color w:val="000000" w:themeColor="text1"/>
                <w:szCs w:val="22"/>
                <w:lang w:val="en-US" w:eastAsia="zh-CN"/>
                <w14:textFill>
                  <w14:solidFill>
                    <w14:schemeClr w14:val="tx1"/>
                  </w14:solidFill>
                </w14:textFill>
              </w:rPr>
              <w:t>0</w:t>
            </w:r>
          </w:p>
        </w:tc>
        <w:tc>
          <w:tcPr>
            <w:tcW w:w="644" w:type="dxa"/>
            <w:shd w:val="clear" w:color="auto" w:fill="auto"/>
            <w:tcMar>
              <w:left w:w="108" w:type="dxa"/>
              <w:right w:w="108" w:type="dxa"/>
            </w:tcMar>
            <w:vAlign w:val="center"/>
          </w:tcPr>
          <w:p>
            <w:pPr>
              <w:widowControl/>
              <w:jc w:val="center"/>
              <w:rPr>
                <w:rFonts w:hint="eastAsia"/>
                <w:color w:val="000000" w:themeColor="text1"/>
                <w:szCs w:val="22"/>
                <w:lang w:val="en-US" w:eastAsia="zh-CN"/>
                <w14:textFill>
                  <w14:solidFill>
                    <w14:schemeClr w14:val="tx1"/>
                  </w14:solidFill>
                </w14:textFill>
              </w:rPr>
            </w:pPr>
            <w:r>
              <w:rPr>
                <w:rFonts w:hint="eastAsia"/>
                <w:color w:val="000000" w:themeColor="text1"/>
                <w:szCs w:val="22"/>
                <w:lang w:val="en-US" w:eastAsia="zh-CN"/>
                <w14:textFill>
                  <w14:solidFill>
                    <w14:schemeClr w14:val="tx1"/>
                  </w14:solidFill>
                </w14:textFill>
              </w:rPr>
              <w:t>0</w:t>
            </w:r>
          </w:p>
        </w:tc>
        <w:tc>
          <w:tcPr>
            <w:tcW w:w="651" w:type="dxa"/>
            <w:shd w:val="clear" w:color="auto" w:fill="auto"/>
            <w:tcMar>
              <w:left w:w="108" w:type="dxa"/>
              <w:right w:w="108" w:type="dxa"/>
            </w:tcMar>
            <w:vAlign w:val="center"/>
          </w:tcPr>
          <w:p>
            <w:pPr>
              <w:widowControl/>
              <w:jc w:val="center"/>
              <w:rPr>
                <w:rFonts w:hint="eastAsia"/>
                <w:color w:val="000000" w:themeColor="text1"/>
                <w:szCs w:val="22"/>
                <w:lang w:val="en-US" w:eastAsia="zh-CN"/>
                <w14:textFill>
                  <w14:solidFill>
                    <w14:schemeClr w14:val="tx1"/>
                  </w14:solidFill>
                </w14:textFill>
              </w:rPr>
            </w:pPr>
            <w:r>
              <w:rPr>
                <w:rFonts w:hint="eastAsia"/>
                <w:color w:val="000000" w:themeColor="text1"/>
                <w:szCs w:val="22"/>
                <w:lang w:val="en-US" w:eastAsia="zh-CN"/>
                <w14:textFill>
                  <w14:solidFill>
                    <w14:schemeClr w14:val="tx1"/>
                  </w14:solidFill>
                </w14:textFill>
              </w:rPr>
              <w:t>0</w:t>
            </w:r>
          </w:p>
        </w:tc>
        <w:tc>
          <w:tcPr>
            <w:tcW w:w="645" w:type="dxa"/>
            <w:shd w:val="clear" w:color="auto" w:fill="auto"/>
            <w:tcMar>
              <w:left w:w="108" w:type="dxa"/>
              <w:right w:w="108" w:type="dxa"/>
            </w:tcMar>
            <w:vAlign w:val="center"/>
          </w:tcPr>
          <w:p>
            <w:pPr>
              <w:widowControl/>
              <w:jc w:val="center"/>
              <w:rPr>
                <w:rFonts w:hint="eastAsia"/>
                <w:color w:val="000000" w:themeColor="text1"/>
                <w:szCs w:val="22"/>
                <w:lang w:val="en-US" w:eastAsia="zh-CN"/>
                <w14:textFill>
                  <w14:solidFill>
                    <w14:schemeClr w14:val="tx1"/>
                  </w14:solidFill>
                </w14:textFill>
              </w:rPr>
            </w:pPr>
            <w:r>
              <w:rPr>
                <w:rFonts w:hint="eastAsia"/>
                <w:color w:val="000000" w:themeColor="text1"/>
                <w:szCs w:val="22"/>
                <w:lang w:val="en-US" w:eastAsia="zh-CN"/>
                <w14:textFill>
                  <w14:solidFill>
                    <w14:schemeClr w14:val="tx1"/>
                  </w14:solidFill>
                </w14:textFill>
              </w:rPr>
              <w:t>0</w:t>
            </w:r>
          </w:p>
        </w:tc>
        <w:tc>
          <w:tcPr>
            <w:tcW w:w="645" w:type="dxa"/>
            <w:shd w:val="clear" w:color="auto" w:fill="auto"/>
            <w:tcMar>
              <w:left w:w="108" w:type="dxa"/>
              <w:right w:w="108" w:type="dxa"/>
            </w:tcMar>
            <w:vAlign w:val="center"/>
          </w:tcPr>
          <w:p>
            <w:pPr>
              <w:widowControl/>
              <w:jc w:val="center"/>
              <w:rPr>
                <w:rFonts w:hint="eastAsia"/>
                <w:color w:val="000000" w:themeColor="text1"/>
                <w:szCs w:val="22"/>
                <w:lang w:val="en-US" w:eastAsia="zh-CN"/>
                <w14:textFill>
                  <w14:solidFill>
                    <w14:schemeClr w14:val="tx1"/>
                  </w14:solidFill>
                </w14:textFill>
              </w:rPr>
            </w:pPr>
            <w:r>
              <w:rPr>
                <w:rFonts w:hint="eastAsia"/>
                <w:color w:val="000000" w:themeColor="text1"/>
                <w:szCs w:val="22"/>
                <w:lang w:val="en-US" w:eastAsia="zh-CN"/>
                <w14:textFill>
                  <w14:solidFill>
                    <w14:schemeClr w14:val="tx1"/>
                  </w14:solidFill>
                </w14:textFill>
              </w:rPr>
              <w:t>0</w:t>
            </w:r>
          </w:p>
        </w:tc>
        <w:tc>
          <w:tcPr>
            <w:tcW w:w="645" w:type="dxa"/>
            <w:shd w:val="clear" w:color="auto" w:fill="auto"/>
            <w:tcMar>
              <w:left w:w="108" w:type="dxa"/>
              <w:right w:w="108" w:type="dxa"/>
            </w:tcMar>
            <w:vAlign w:val="center"/>
          </w:tcPr>
          <w:p>
            <w:pPr>
              <w:widowControl/>
              <w:jc w:val="center"/>
              <w:rPr>
                <w:rFonts w:hint="eastAsia"/>
                <w:color w:val="000000" w:themeColor="text1"/>
                <w:szCs w:val="22"/>
                <w:lang w:val="en-US" w:eastAsia="zh-CN"/>
                <w14:textFill>
                  <w14:solidFill>
                    <w14:schemeClr w14:val="tx1"/>
                  </w14:solidFill>
                </w14:textFill>
              </w:rPr>
            </w:pPr>
            <w:r>
              <w:rPr>
                <w:rFonts w:hint="eastAsia"/>
                <w:color w:val="000000" w:themeColor="text1"/>
                <w:szCs w:val="22"/>
                <w:lang w:val="en-US" w:eastAsia="zh-CN"/>
                <w14:textFill>
                  <w14:solidFill>
                    <w14:schemeClr w14:val="tx1"/>
                  </w14:solidFill>
                </w14:textFill>
              </w:rPr>
              <w:t>0</w:t>
            </w:r>
          </w:p>
        </w:tc>
        <w:tc>
          <w:tcPr>
            <w:tcW w:w="645" w:type="dxa"/>
            <w:shd w:val="clear" w:color="auto" w:fill="auto"/>
            <w:tcMar>
              <w:left w:w="108" w:type="dxa"/>
              <w:right w:w="108" w:type="dxa"/>
            </w:tcMar>
            <w:vAlign w:val="center"/>
          </w:tcPr>
          <w:p>
            <w:pPr>
              <w:widowControl/>
              <w:jc w:val="center"/>
              <w:rPr>
                <w:rFonts w:hint="eastAsia"/>
                <w:color w:val="000000" w:themeColor="text1"/>
                <w:szCs w:val="22"/>
                <w:lang w:val="en-US" w:eastAsia="zh-CN"/>
                <w14:textFill>
                  <w14:solidFill>
                    <w14:schemeClr w14:val="tx1"/>
                  </w14:solidFill>
                </w14:textFill>
              </w:rPr>
            </w:pPr>
            <w:r>
              <w:rPr>
                <w:rFonts w:hint="eastAsia"/>
                <w:color w:val="000000" w:themeColor="text1"/>
                <w:szCs w:val="22"/>
                <w:lang w:val="en-US" w:eastAsia="zh-CN"/>
                <w14:textFill>
                  <w14:solidFill>
                    <w14:schemeClr w14:val="tx1"/>
                  </w14:solidFill>
                </w14:textFill>
              </w:rPr>
              <w:t>0</w:t>
            </w:r>
          </w:p>
        </w:tc>
        <w:tc>
          <w:tcPr>
            <w:tcW w:w="652" w:type="dxa"/>
            <w:shd w:val="clear" w:color="auto" w:fill="auto"/>
            <w:tcMar>
              <w:left w:w="108" w:type="dxa"/>
              <w:right w:w="108" w:type="dxa"/>
            </w:tcMar>
            <w:vAlign w:val="center"/>
          </w:tcPr>
          <w:p>
            <w:pPr>
              <w:widowControl/>
              <w:jc w:val="center"/>
              <w:rPr>
                <w:rFonts w:hint="eastAsia"/>
                <w:color w:val="000000" w:themeColor="text1"/>
                <w:szCs w:val="22"/>
                <w:lang w:val="en-US" w:eastAsia="zh-CN"/>
                <w14:textFill>
                  <w14:solidFill>
                    <w14:schemeClr w14:val="tx1"/>
                  </w14:solidFill>
                </w14:textFill>
              </w:rPr>
            </w:pPr>
            <w:r>
              <w:rPr>
                <w:rFonts w:hint="eastAsia"/>
                <w:color w:val="000000" w:themeColor="text1"/>
                <w:szCs w:val="22"/>
                <w:lang w:val="en-US" w:eastAsia="zh-CN"/>
                <w14:textFill>
                  <w14:solidFill>
                    <w14:schemeClr w14:val="tx1"/>
                  </w14:solidFill>
                </w14:textFill>
              </w:rPr>
              <w:t>0</w:t>
            </w:r>
          </w:p>
        </w:tc>
      </w:tr>
    </w:tbl>
    <w:p>
      <w:pPr>
        <w:keepNext w:val="0"/>
        <w:keepLines w:val="0"/>
        <w:pageBreakBefore w:val="0"/>
        <w:widowControl w:val="0"/>
        <w:numPr>
          <w:ilvl w:val="0"/>
          <w:numId w:val="0"/>
        </w:numPr>
        <w:kinsoku w:val="0"/>
        <w:wordWrap/>
        <w:overflowPunct w:val="0"/>
        <w:topLinePunct w:val="0"/>
        <w:autoSpaceDE w:val="0"/>
        <w:autoSpaceDN w:val="0"/>
        <w:bidi w:val="0"/>
        <w:adjustRightInd/>
        <w:snapToGrid/>
        <w:spacing w:line="576" w:lineRule="exact"/>
        <w:ind w:firstLine="620" w:firstLineChars="200"/>
        <w:jc w:val="both"/>
        <w:textAlignment w:val="auto"/>
        <w:rPr>
          <w:rFonts w:hint="eastAsia" w:ascii="方正黑体_GBK" w:hAnsi="方正黑体_GBK" w:eastAsia="方正黑体_GBK" w:cs="方正黑体_GBK"/>
          <w:i w:val="0"/>
          <w:iCs w:val="0"/>
          <w:caps w:val="0"/>
          <w:color w:val="333333"/>
          <w:spacing w:val="0"/>
          <w:sz w:val="31"/>
          <w:szCs w:val="31"/>
          <w:shd w:val="clear" w:fill="FFFFFF"/>
        </w:rPr>
      </w:pPr>
      <w:r>
        <w:rPr>
          <w:rFonts w:hint="eastAsia" w:ascii="方正黑体_GBK" w:hAnsi="方正黑体_GBK" w:eastAsia="方正黑体_GBK" w:cs="方正黑体_GBK"/>
          <w:i w:val="0"/>
          <w:iCs w:val="0"/>
          <w:caps w:val="0"/>
          <w:color w:val="333333"/>
          <w:spacing w:val="0"/>
          <w:sz w:val="31"/>
          <w:szCs w:val="31"/>
          <w:shd w:val="clear" w:fill="FFFFFF"/>
          <w:lang w:val="en-US" w:eastAsia="zh-CN"/>
        </w:rPr>
        <w:t>五、</w:t>
      </w:r>
      <w:r>
        <w:rPr>
          <w:rFonts w:hint="eastAsia" w:ascii="方正黑体_GBK" w:hAnsi="方正黑体_GBK" w:eastAsia="方正黑体_GBK" w:cs="方正黑体_GBK"/>
          <w:i w:val="0"/>
          <w:iCs w:val="0"/>
          <w:caps w:val="0"/>
          <w:color w:val="333333"/>
          <w:spacing w:val="0"/>
          <w:sz w:val="31"/>
          <w:szCs w:val="31"/>
          <w:shd w:val="clear" w:fill="FFFFFF"/>
        </w:rPr>
        <w:t>当前存在的主要问题及下步改进措施</w:t>
      </w:r>
    </w:p>
    <w:p>
      <w:pPr>
        <w:keepNext w:val="0"/>
        <w:keepLines w:val="0"/>
        <w:pageBreakBefore w:val="0"/>
        <w:widowControl w:val="0"/>
        <w:numPr>
          <w:ilvl w:val="0"/>
          <w:numId w:val="0"/>
        </w:numPr>
        <w:kinsoku w:val="0"/>
        <w:wordWrap/>
        <w:overflowPunct w:val="0"/>
        <w:topLinePunct w:val="0"/>
        <w:autoSpaceDE w:val="0"/>
        <w:autoSpaceDN w:val="0"/>
        <w:bidi w:val="0"/>
        <w:adjustRightInd/>
        <w:snapToGrid/>
        <w:spacing w:line="576" w:lineRule="exact"/>
        <w:ind w:firstLine="620" w:firstLineChars="200"/>
        <w:jc w:val="both"/>
        <w:textAlignment w:val="auto"/>
        <w:rPr>
          <w:rFonts w:hint="eastAsia" w:ascii="方正仿宋_GBK" w:hAnsi="方正仿宋_GBK" w:eastAsia="方正仿宋_GBK" w:cs="方正仿宋_GBK"/>
          <w:i w:val="0"/>
          <w:iCs w:val="0"/>
          <w:caps w:val="0"/>
          <w:color w:val="333333"/>
          <w:spacing w:val="0"/>
          <w:sz w:val="31"/>
          <w:szCs w:val="31"/>
          <w:shd w:val="clear" w:fill="FFFFFF"/>
          <w:lang w:eastAsia="zh-CN"/>
        </w:rPr>
      </w:pPr>
      <w:r>
        <w:rPr>
          <w:rFonts w:ascii="方正仿宋_GBK" w:hAnsi="方正仿宋_GBK" w:eastAsia="方正仿宋_GBK" w:cs="方正仿宋_GBK"/>
          <w:i w:val="0"/>
          <w:iCs w:val="0"/>
          <w:caps w:val="0"/>
          <w:color w:val="333333"/>
          <w:spacing w:val="0"/>
          <w:sz w:val="31"/>
          <w:szCs w:val="31"/>
          <w:shd w:val="clear" w:fill="FFFFFF"/>
        </w:rPr>
        <w:t>202</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4</w:t>
      </w:r>
      <w:r>
        <w:rPr>
          <w:rFonts w:ascii="方正仿宋_GBK" w:hAnsi="方正仿宋_GBK" w:eastAsia="方正仿宋_GBK" w:cs="方正仿宋_GBK"/>
          <w:i w:val="0"/>
          <w:iCs w:val="0"/>
          <w:caps w:val="0"/>
          <w:color w:val="333333"/>
          <w:spacing w:val="0"/>
          <w:sz w:val="31"/>
          <w:szCs w:val="31"/>
          <w:shd w:val="clear" w:fill="FFFFFF"/>
        </w:rPr>
        <w:t>年政府信息公开工作虽然取得了明显成效，但仍然存在一些不足</w:t>
      </w:r>
      <w:r>
        <w:rPr>
          <w:rFonts w:hint="eastAsia" w:ascii="方正仿宋_GBK" w:hAnsi="方正仿宋_GBK" w:eastAsia="方正仿宋_GBK" w:cs="方正仿宋_GBK"/>
          <w:i w:val="0"/>
          <w:iCs w:val="0"/>
          <w:caps w:val="0"/>
          <w:color w:val="333333"/>
          <w:spacing w:val="0"/>
          <w:sz w:val="31"/>
          <w:szCs w:val="31"/>
          <w:shd w:val="clear" w:fill="FFFFFF"/>
          <w:lang w:eastAsia="zh-CN"/>
        </w:rPr>
        <w:t>：</w:t>
      </w:r>
      <w:r>
        <w:rPr>
          <w:rFonts w:ascii="方正仿宋_GBK" w:hAnsi="方正仿宋_GBK" w:eastAsia="方正仿宋_GBK" w:cs="方正仿宋_GBK"/>
          <w:i w:val="0"/>
          <w:iCs w:val="0"/>
          <w:caps w:val="0"/>
          <w:color w:val="333333"/>
          <w:spacing w:val="0"/>
          <w:sz w:val="31"/>
          <w:szCs w:val="31"/>
          <w:shd w:val="clear" w:fill="FFFFFF"/>
        </w:rPr>
        <w:t>一是政府信息公开工作培训力度需进一步加大；</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二</w:t>
      </w:r>
      <w:r>
        <w:rPr>
          <w:rFonts w:ascii="方正仿宋_GBK" w:hAnsi="方正仿宋_GBK" w:eastAsia="方正仿宋_GBK" w:cs="方正仿宋_GBK"/>
          <w:i w:val="0"/>
          <w:iCs w:val="0"/>
          <w:caps w:val="0"/>
          <w:color w:val="333333"/>
          <w:spacing w:val="0"/>
          <w:sz w:val="31"/>
          <w:szCs w:val="31"/>
          <w:shd w:val="clear" w:fill="FFFFFF"/>
        </w:rPr>
        <w:t>是政策解读方式不够丰富</w:t>
      </w:r>
      <w:r>
        <w:rPr>
          <w:rFonts w:hint="eastAsia" w:ascii="方正仿宋_GBK" w:hAnsi="方正仿宋_GBK" w:eastAsia="方正仿宋_GBK" w:cs="方正仿宋_GBK"/>
          <w:i w:val="0"/>
          <w:iCs w:val="0"/>
          <w:caps w:val="0"/>
          <w:color w:val="333333"/>
          <w:spacing w:val="0"/>
          <w:sz w:val="31"/>
          <w:szCs w:val="31"/>
          <w:shd w:val="clear" w:fill="FFFFFF"/>
          <w:lang w:eastAsia="zh-CN"/>
        </w:rPr>
        <w:t>。</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本年度改进情况：</w:t>
      </w:r>
      <w:r>
        <w:rPr>
          <w:rFonts w:ascii="方正仿宋_GBK" w:hAnsi="方正仿宋_GBK" w:eastAsia="方正仿宋_GBK" w:cs="方正仿宋_GBK"/>
          <w:i w:val="0"/>
          <w:iCs w:val="0"/>
          <w:caps w:val="0"/>
          <w:color w:val="333333"/>
          <w:spacing w:val="0"/>
          <w:sz w:val="31"/>
          <w:szCs w:val="31"/>
          <w:shd w:val="clear" w:fill="FFFFFF"/>
        </w:rPr>
        <w:t>一是进一步强化政策解读工作思想认识，优化解读方式，在政策解读工作中新增了视频解读方式，同时提高了政策文件图文解读比例</w:t>
      </w:r>
      <w:r>
        <w:rPr>
          <w:rFonts w:hint="eastAsia" w:ascii="方正仿宋_GBK" w:hAnsi="方正仿宋_GBK" w:eastAsia="方正仿宋_GBK" w:cs="方正仿宋_GBK"/>
          <w:i w:val="0"/>
          <w:iCs w:val="0"/>
          <w:caps w:val="0"/>
          <w:color w:val="333333"/>
          <w:spacing w:val="0"/>
          <w:sz w:val="31"/>
          <w:szCs w:val="31"/>
          <w:shd w:val="clear" w:fill="FFFFFF"/>
          <w:lang w:eastAsia="zh-CN"/>
        </w:rPr>
        <w:t>。</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二是</w:t>
      </w:r>
      <w:r>
        <w:rPr>
          <w:rFonts w:ascii="方正仿宋_GBK" w:hAnsi="方正仿宋_GBK" w:eastAsia="方正仿宋_GBK" w:cs="方正仿宋_GBK"/>
          <w:i w:val="0"/>
          <w:iCs w:val="0"/>
          <w:caps w:val="0"/>
          <w:color w:val="333333"/>
          <w:spacing w:val="0"/>
          <w:sz w:val="31"/>
          <w:szCs w:val="31"/>
          <w:shd w:val="clear" w:fill="FFFFFF"/>
        </w:rPr>
        <w:t>加大培训力度</w:t>
      </w:r>
      <w:r>
        <w:rPr>
          <w:rFonts w:hint="eastAsia" w:ascii="方正仿宋_GBK" w:hAnsi="方正仿宋_GBK" w:eastAsia="方正仿宋_GBK" w:cs="方正仿宋_GBK"/>
          <w:i w:val="0"/>
          <w:iCs w:val="0"/>
          <w:caps w:val="0"/>
          <w:color w:val="333333"/>
          <w:spacing w:val="0"/>
          <w:sz w:val="31"/>
          <w:szCs w:val="31"/>
          <w:shd w:val="clear" w:fill="FFFFFF"/>
          <w:lang w:eastAsia="zh-CN"/>
        </w:rPr>
        <w:t>，</w:t>
      </w:r>
      <w:r>
        <w:rPr>
          <w:rFonts w:ascii="方正仿宋_GBK" w:hAnsi="方正仿宋_GBK" w:eastAsia="方正仿宋_GBK" w:cs="方正仿宋_GBK"/>
          <w:i w:val="0"/>
          <w:iCs w:val="0"/>
          <w:caps w:val="0"/>
          <w:color w:val="333333"/>
          <w:spacing w:val="0"/>
          <w:sz w:val="31"/>
          <w:szCs w:val="31"/>
          <w:shd w:val="clear" w:fill="FFFFFF"/>
        </w:rPr>
        <w:t>多向其他部门学习请教先进经验做法，不断提升政府信息公开工作能力水平</w:t>
      </w:r>
      <w:r>
        <w:rPr>
          <w:rFonts w:hint="eastAsia" w:ascii="方正仿宋_GBK" w:hAnsi="方正仿宋_GBK" w:eastAsia="方正仿宋_GBK" w:cs="方正仿宋_GBK"/>
          <w:i w:val="0"/>
          <w:iCs w:val="0"/>
          <w:caps w:val="0"/>
          <w:color w:val="333333"/>
          <w:spacing w:val="0"/>
          <w:sz w:val="31"/>
          <w:szCs w:val="31"/>
          <w:shd w:val="clear" w:fill="FFFFFF"/>
          <w:lang w:eastAsia="zh-CN"/>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val="0"/>
        <w:wordWrap/>
        <w:overflowPunct w:val="0"/>
        <w:topLinePunct w:val="0"/>
        <w:autoSpaceDE w:val="0"/>
        <w:autoSpaceDN w:val="0"/>
        <w:bidi w:val="0"/>
        <w:adjustRightInd/>
        <w:snapToGrid/>
        <w:spacing w:before="0" w:beforeAutospacing="0" w:after="0" w:afterAutospacing="0" w:line="576" w:lineRule="exact"/>
        <w:ind w:right="0" w:firstLine="620" w:firstLineChars="200"/>
        <w:jc w:val="both"/>
        <w:textAlignment w:val="auto"/>
        <w:rPr>
          <w:rFonts w:ascii="微软雅黑" w:hAnsi="微软雅黑" w:eastAsia="微软雅黑" w:cs="微软雅黑"/>
          <w:i w:val="0"/>
          <w:iCs w:val="0"/>
          <w:caps w:val="0"/>
          <w:color w:val="333333"/>
          <w:spacing w:val="0"/>
          <w:sz w:val="24"/>
          <w:szCs w:val="24"/>
        </w:rPr>
      </w:pPr>
      <w:r>
        <w:rPr>
          <w:rFonts w:ascii="方正黑体_GBK" w:hAnsi="方正黑体_GBK" w:eastAsia="方正黑体_GBK" w:cs="方正黑体_GBK"/>
          <w:i w:val="0"/>
          <w:iCs w:val="0"/>
          <w:caps w:val="0"/>
          <w:color w:val="333333"/>
          <w:spacing w:val="0"/>
          <w:sz w:val="31"/>
          <w:szCs w:val="31"/>
          <w:shd w:val="clear" w:fill="FFFFFF"/>
        </w:rPr>
        <w:t>六、</w:t>
      </w:r>
      <w:r>
        <w:rPr>
          <w:rFonts w:hint="eastAsia" w:ascii="方正黑体_GBK" w:hAnsi="方正黑体_GBK" w:eastAsia="方正黑体_GBK" w:cs="方正黑体_GBK"/>
          <w:i w:val="0"/>
          <w:iCs w:val="0"/>
          <w:caps w:val="0"/>
          <w:color w:val="333333"/>
          <w:spacing w:val="0"/>
          <w:sz w:val="31"/>
          <w:szCs w:val="31"/>
          <w:shd w:val="clear" w:fill="FFFFFF"/>
        </w:rPr>
        <w:t>其他需要报告的事项</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val="0"/>
        <w:wordWrap/>
        <w:overflowPunct w:val="0"/>
        <w:topLinePunct w:val="0"/>
        <w:autoSpaceDE w:val="0"/>
        <w:autoSpaceDN w:val="0"/>
        <w:bidi w:val="0"/>
        <w:adjustRightInd/>
        <w:snapToGrid/>
        <w:spacing w:before="0" w:beforeAutospacing="0" w:after="0" w:afterAutospacing="0" w:line="576" w:lineRule="exact"/>
        <w:ind w:left="0" w:right="0" w:firstLine="620" w:firstLineChars="200"/>
        <w:jc w:val="both"/>
        <w:textAlignment w:val="auto"/>
        <w:rPr>
          <w:rFonts w:hint="eastAsia" w:ascii="微软雅黑" w:hAnsi="微软雅黑" w:eastAsia="微软雅黑" w:cs="微软雅黑"/>
          <w:i w:val="0"/>
          <w:iCs w:val="0"/>
          <w:caps w:val="0"/>
          <w:color w:val="333333"/>
          <w:spacing w:val="0"/>
          <w:sz w:val="24"/>
          <w:szCs w:val="24"/>
        </w:rPr>
      </w:pPr>
      <w:r>
        <w:rPr>
          <w:rFonts w:ascii="方正仿宋_GBK" w:hAnsi="方正仿宋_GBK" w:eastAsia="方正仿宋_GBK" w:cs="方正仿宋_GBK"/>
          <w:i w:val="0"/>
          <w:iCs w:val="0"/>
          <w:caps w:val="0"/>
          <w:color w:val="333333"/>
          <w:spacing w:val="0"/>
          <w:sz w:val="31"/>
          <w:szCs w:val="31"/>
          <w:shd w:val="clear" w:fill="FFFFFF"/>
        </w:rPr>
        <w:t>无</w:t>
      </w:r>
    </w:p>
    <w:p>
      <w:pPr>
        <w:keepNext w:val="0"/>
        <w:keepLines w:val="0"/>
        <w:pageBreakBefore w:val="0"/>
        <w:widowControl w:val="0"/>
        <w:numPr>
          <w:ilvl w:val="0"/>
          <w:numId w:val="0"/>
        </w:numPr>
        <w:kinsoku w:val="0"/>
        <w:wordWrap/>
        <w:overflowPunct w:val="0"/>
        <w:topLinePunct w:val="0"/>
        <w:autoSpaceDE w:val="0"/>
        <w:autoSpaceDN w:val="0"/>
        <w:bidi w:val="0"/>
        <w:adjustRightInd/>
        <w:snapToGrid/>
        <w:spacing w:line="576" w:lineRule="exact"/>
        <w:ind w:firstLine="620" w:firstLineChars="200"/>
        <w:jc w:val="left"/>
        <w:textAlignment w:val="auto"/>
        <w:rPr>
          <w:rFonts w:hint="eastAsia" w:ascii="方正仿宋_GBK" w:hAnsi="方正仿宋_GBK" w:eastAsia="方正仿宋_GBK" w:cs="方正仿宋_GBK"/>
          <w:i w:val="0"/>
          <w:iCs w:val="0"/>
          <w:caps w:val="0"/>
          <w:color w:val="333333"/>
          <w:spacing w:val="0"/>
          <w:sz w:val="31"/>
          <w:szCs w:val="31"/>
          <w:shd w:val="clear" w:fill="FFFFFF"/>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A7157D"/>
    <w:multiLevelType w:val="singleLevel"/>
    <w:tmpl w:val="FAA7157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D75FDB"/>
    <w:rsid w:val="02507B6C"/>
    <w:rsid w:val="026101E2"/>
    <w:rsid w:val="139A2376"/>
    <w:rsid w:val="14F62055"/>
    <w:rsid w:val="175A618F"/>
    <w:rsid w:val="18522354"/>
    <w:rsid w:val="1DA36DCE"/>
    <w:rsid w:val="223F442A"/>
    <w:rsid w:val="2C9E1659"/>
    <w:rsid w:val="2E8A258E"/>
    <w:rsid w:val="31EF7B15"/>
    <w:rsid w:val="344754A0"/>
    <w:rsid w:val="35473A8F"/>
    <w:rsid w:val="35C263A3"/>
    <w:rsid w:val="35E0579F"/>
    <w:rsid w:val="3F2073B5"/>
    <w:rsid w:val="48726472"/>
    <w:rsid w:val="50D75FDB"/>
    <w:rsid w:val="50E45BA9"/>
    <w:rsid w:val="51672AE4"/>
    <w:rsid w:val="54987337"/>
    <w:rsid w:val="579C5CE9"/>
    <w:rsid w:val="5A15732E"/>
    <w:rsid w:val="5B9F2F33"/>
    <w:rsid w:val="5F6A7B1C"/>
    <w:rsid w:val="6236163A"/>
    <w:rsid w:val="6DFA1061"/>
    <w:rsid w:val="729E65F2"/>
    <w:rsid w:val="77755918"/>
    <w:rsid w:val="7BEF0BE1"/>
    <w:rsid w:val="7CE637CC"/>
    <w:rsid w:val="7FD25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2045</Words>
  <Characters>2095</Characters>
  <Lines>0</Lines>
  <Paragraphs>0</Paragraphs>
  <TotalTime>1</TotalTime>
  <ScaleCrop>false</ScaleCrop>
  <LinksUpToDate>false</LinksUpToDate>
  <CharactersWithSpaces>2099</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2025-01-07T08:20:00Z</dcterms:created>
  <dc:creator>Administrator</dc:creator>
  <cp:lastModifiedBy>Administrator</cp:lastModifiedBy>
  <dcterms:modified xsi:type="dcterms:W3CDTF">2025-01-21T06:33:38Z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4A68B4A5C73A4DF3891A85BD20D1A308</vt:lpwstr>
  </property>
  <property fmtid="{D5CDD505-2E9C-101B-9397-08002B2CF9AE}" pid="4" name="KSOTemplateDocerSaveRecord">
    <vt:lpwstr>eyJoZGlkIjoiNjM0YTZlMGE1N2UxMTFiYjIwMzg5NDk2YTA2NmU5ZTUiLCJ1c2VySWQiOiI4OTQ1NDM4MzgifQ==</vt:lpwstr>
  </property>
</Properties>
</file>